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4F0BB1D7" w:rsidR="00515A42" w:rsidRDefault="00D211CB">
      <w:pPr>
        <w:spacing w:line="360" w:lineRule="auto"/>
        <w:rPr>
          <w:rFonts w:ascii="Sen" w:eastAsia="Sen" w:hAnsi="Sen" w:cs="Sen"/>
          <w:b/>
          <w:color w:val="0095D5"/>
          <w:sz w:val="18"/>
          <w:szCs w:val="18"/>
        </w:rPr>
      </w:pPr>
      <w:r>
        <w:rPr>
          <w:rFonts w:ascii="Sen" w:eastAsia="Sen" w:hAnsi="Sen" w:cs="Sen"/>
          <w:b/>
          <w:noProof/>
          <w:color w:val="0095D5"/>
          <w:sz w:val="18"/>
          <w:szCs w:val="18"/>
        </w:rPr>
        <w:drawing>
          <wp:inline distT="0" distB="0" distL="0" distR="0" wp14:anchorId="0EB272F4" wp14:editId="655A56A3">
            <wp:extent cx="5003800" cy="3044190"/>
            <wp:effectExtent l="0" t="0" r="6350" b="3810"/>
            <wp:docPr id="1606841742" name="Image 1" descr="Une image contenant Appareils électroniques, Appareil électronique, gadget, stéré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1742" name="Image 1" descr="Une image contenant Appareils électroniques, Appareil électronique, gadget, stéré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044190"/>
                    </a:xfrm>
                    <a:prstGeom prst="rect">
                      <a:avLst/>
                    </a:prstGeom>
                  </pic:spPr>
                </pic:pic>
              </a:graphicData>
            </a:graphic>
          </wp:inline>
        </w:drawing>
      </w:r>
    </w:p>
    <w:p w14:paraId="3ABFE923" w14:textId="77777777" w:rsidR="00D95B27" w:rsidRPr="00D95B27" w:rsidRDefault="00D95B27" w:rsidP="00D95B27">
      <w:pPr>
        <w:spacing w:line="360" w:lineRule="auto"/>
        <w:rPr>
          <w:rFonts w:ascii="Sennheiser Office" w:eastAsia="Sen" w:hAnsi="Sennheiser Office" w:cs="Sen"/>
          <w:b/>
          <w:bCs/>
          <w:color w:val="0095D5"/>
          <w:sz w:val="18"/>
          <w:szCs w:val="18"/>
        </w:rPr>
      </w:pPr>
      <w:r w:rsidRPr="00D95B27">
        <w:rPr>
          <w:rFonts w:ascii="Sennheiser Office" w:eastAsia="Sen" w:hAnsi="Sennheiser Office" w:cs="Sen"/>
          <w:b/>
          <w:bCs/>
          <w:color w:val="0095D5"/>
          <w:sz w:val="18"/>
          <w:szCs w:val="18"/>
        </w:rPr>
        <w:t xml:space="preserve">Say Hello </w:t>
      </w:r>
      <w:proofErr w:type="gramStart"/>
      <w:r w:rsidRPr="00D95B27">
        <w:rPr>
          <w:rFonts w:ascii="Sennheiser Office" w:eastAsia="Sen" w:hAnsi="Sennheiser Office" w:cs="Sen"/>
          <w:b/>
          <w:bCs/>
          <w:color w:val="0095D5"/>
          <w:sz w:val="18"/>
          <w:szCs w:val="18"/>
        </w:rPr>
        <w:t>To</w:t>
      </w:r>
      <w:proofErr w:type="gramEnd"/>
      <w:r w:rsidRPr="00D95B27">
        <w:rPr>
          <w:rFonts w:ascii="Sennheiser Office" w:eastAsia="Sen" w:hAnsi="Sennheiser Office" w:cs="Sen"/>
          <w:b/>
          <w:bCs/>
          <w:color w:val="0095D5"/>
          <w:sz w:val="18"/>
          <w:szCs w:val="18"/>
        </w:rPr>
        <w:t xml:space="preserve"> Dante!</w:t>
      </w:r>
    </w:p>
    <w:p w14:paraId="6F5FC6D8" w14:textId="77777777" w:rsidR="00D95B27" w:rsidRPr="00D95B27" w:rsidRDefault="00D95B27" w:rsidP="00D95B27">
      <w:pPr>
        <w:spacing w:line="360" w:lineRule="auto"/>
        <w:rPr>
          <w:rFonts w:ascii="Sennheiser Office" w:eastAsia="Sen" w:hAnsi="Sennheiser Office" w:cs="Sen"/>
          <w:b/>
          <w:bCs/>
          <w:color w:val="0095D5"/>
          <w:sz w:val="18"/>
          <w:szCs w:val="18"/>
        </w:rPr>
      </w:pPr>
      <w:r w:rsidRPr="00D95B27">
        <w:rPr>
          <w:rFonts w:ascii="Sennheiser Office" w:eastAsia="Sen" w:hAnsi="Sennheiser Office" w:cs="Sen"/>
          <w:b/>
          <w:bCs/>
          <w:color w:val="0095D5"/>
          <w:sz w:val="18"/>
          <w:szCs w:val="18"/>
        </w:rPr>
        <w:t>Neumann and Merging Audio Interfaces Now Ship Dante Ready™</w:t>
      </w:r>
    </w:p>
    <w:p w14:paraId="44548AD1" w14:textId="193F0520" w:rsidR="00515A42" w:rsidRPr="007E3A13" w:rsidRDefault="00515A42">
      <w:pPr>
        <w:spacing w:line="360" w:lineRule="auto"/>
        <w:rPr>
          <w:rFonts w:ascii="Sennheiser Office" w:eastAsia="Sen" w:hAnsi="Sennheiser Office" w:cs="Sen"/>
          <w:sz w:val="18"/>
          <w:szCs w:val="18"/>
          <w:lang w:val="fr-FR"/>
        </w:rPr>
      </w:pPr>
    </w:p>
    <w:p w14:paraId="11352F98" w14:textId="17555DA7" w:rsidR="00D211CB" w:rsidRPr="00D211CB" w:rsidRDefault="00D211CB" w:rsidP="00D211CB">
      <w:pPr>
        <w:spacing w:line="360" w:lineRule="auto"/>
        <w:rPr>
          <w:rFonts w:ascii="Sennheiser Office" w:eastAsia="Sen" w:hAnsi="Sennheiser Office" w:cs="Sen"/>
          <w:b/>
          <w:i/>
          <w:sz w:val="18"/>
          <w:szCs w:val="18"/>
        </w:rPr>
      </w:pPr>
      <w:r w:rsidRPr="00D211CB">
        <w:rPr>
          <w:rFonts w:ascii="Sennheiser Office" w:eastAsia="Sen" w:hAnsi="Sennheiser Office" w:cs="Sen"/>
          <w:b/>
          <w:bCs/>
          <w:i/>
          <w:sz w:val="18"/>
          <w:szCs w:val="18"/>
        </w:rPr>
        <w:t>Berlin, December 19th</w:t>
      </w:r>
      <w:proofErr w:type="gramStart"/>
      <w:r w:rsidRPr="00D211CB">
        <w:rPr>
          <w:rFonts w:ascii="Sennheiser Office" w:eastAsia="Sen" w:hAnsi="Sennheiser Office" w:cs="Sen"/>
          <w:b/>
          <w:bCs/>
          <w:i/>
          <w:sz w:val="18"/>
          <w:szCs w:val="18"/>
        </w:rPr>
        <w:t xml:space="preserve"> 2024</w:t>
      </w:r>
      <w:proofErr w:type="gramEnd"/>
      <w:r w:rsidRPr="00D211CB">
        <w:rPr>
          <w:rFonts w:ascii="Sennheiser Office" w:eastAsia="Sen" w:hAnsi="Sennheiser Office" w:cs="Sen"/>
          <w:b/>
          <w:bCs/>
          <w:i/>
          <w:sz w:val="18"/>
          <w:szCs w:val="18"/>
        </w:rPr>
        <w:t xml:space="preserve"> – Neumann and Merging Technologies are proud to announce the availability of a Dante Ready™ option for their audio interfaces. </w:t>
      </w:r>
    </w:p>
    <w:p w14:paraId="11BB3F12" w14:textId="77777777" w:rsidR="00B8081E" w:rsidRDefault="00B8081E" w:rsidP="00D211CB">
      <w:pPr>
        <w:spacing w:line="360" w:lineRule="auto"/>
        <w:rPr>
          <w:rFonts w:ascii="Sennheiser Office" w:eastAsia="Sen" w:hAnsi="Sennheiser Office" w:cs="Sen"/>
          <w:bCs/>
          <w:iCs/>
          <w:sz w:val="18"/>
          <w:szCs w:val="18"/>
        </w:rPr>
      </w:pPr>
    </w:p>
    <w:p w14:paraId="406F8561" w14:textId="1815A72E" w:rsidR="00D211CB" w:rsidRPr="00D211CB" w:rsidRDefault="00D211CB" w:rsidP="00D211CB">
      <w:pPr>
        <w:spacing w:line="360" w:lineRule="auto"/>
        <w:rPr>
          <w:rFonts w:ascii="Sennheiser Office" w:eastAsia="Sen" w:hAnsi="Sennheiser Office" w:cs="Sen"/>
          <w:bCs/>
          <w:iCs/>
          <w:sz w:val="18"/>
          <w:szCs w:val="18"/>
        </w:rPr>
      </w:pPr>
      <w:r w:rsidRPr="00D211CB">
        <w:rPr>
          <w:rFonts w:ascii="Sennheiser Office" w:eastAsia="Sen" w:hAnsi="Sennheiser Office" w:cs="Sen"/>
          <w:bCs/>
          <w:iCs/>
          <w:sz w:val="18"/>
          <w:szCs w:val="18"/>
        </w:rPr>
        <w:t xml:space="preserve">Merging Technologies, renowned for its state-of-the-art converters and pioneering audio-over-IP technology, has just released the third iteration of their audio mainframe </w:t>
      </w:r>
      <w:proofErr w:type="spellStart"/>
      <w:r w:rsidRPr="00D211CB">
        <w:rPr>
          <w:rFonts w:ascii="Sennheiser Office" w:eastAsia="Sen" w:hAnsi="Sennheiser Office" w:cs="Sen"/>
          <w:bCs/>
          <w:iCs/>
          <w:sz w:val="18"/>
          <w:szCs w:val="18"/>
        </w:rPr>
        <w:t>Hapi</w:t>
      </w:r>
      <w:proofErr w:type="spellEnd"/>
      <w:r w:rsidRPr="00D211CB">
        <w:rPr>
          <w:rFonts w:ascii="Sennheiser Office" w:eastAsia="Sen" w:hAnsi="Sennheiser Office" w:cs="Sen"/>
          <w:bCs/>
          <w:iCs/>
          <w:sz w:val="18"/>
          <w:szCs w:val="18"/>
        </w:rPr>
        <w:t xml:space="preserve">. One major improvement over its predecessors is that </w:t>
      </w:r>
      <w:proofErr w:type="spellStart"/>
      <w:r w:rsidRPr="00D211CB">
        <w:rPr>
          <w:rFonts w:ascii="Sennheiser Office" w:eastAsia="Sen" w:hAnsi="Sennheiser Office" w:cs="Sen"/>
          <w:bCs/>
          <w:iCs/>
          <w:sz w:val="18"/>
          <w:szCs w:val="18"/>
        </w:rPr>
        <w:t>Hapi</w:t>
      </w:r>
      <w:proofErr w:type="spellEnd"/>
      <w:r w:rsidRPr="00D211CB">
        <w:rPr>
          <w:rFonts w:ascii="Sennheiser Office" w:eastAsia="Sen" w:hAnsi="Sennheiser Office" w:cs="Sen"/>
          <w:bCs/>
          <w:iCs/>
          <w:sz w:val="18"/>
          <w:szCs w:val="18"/>
        </w:rPr>
        <w:t xml:space="preserve"> Mk III comes Dante Ready™. </w:t>
      </w:r>
    </w:p>
    <w:p w14:paraId="115CA5B2" w14:textId="77777777" w:rsidR="00D211CB" w:rsidRPr="00D211CB" w:rsidRDefault="00D211CB" w:rsidP="00D211CB">
      <w:pPr>
        <w:spacing w:line="360" w:lineRule="auto"/>
        <w:rPr>
          <w:rFonts w:ascii="Sennheiser Office" w:eastAsia="Sen" w:hAnsi="Sennheiser Office" w:cs="Sen"/>
          <w:bCs/>
          <w:iCs/>
          <w:sz w:val="18"/>
          <w:szCs w:val="18"/>
          <w:lang w:val="fr-FR"/>
        </w:rPr>
      </w:pPr>
      <w:r w:rsidRPr="00D211CB">
        <w:rPr>
          <w:rFonts w:ascii="Sennheiser Office" w:eastAsia="Sen" w:hAnsi="Sennheiser Office" w:cs="Sen"/>
          <w:bCs/>
          <w:iCs/>
          <w:sz w:val="18"/>
          <w:szCs w:val="18"/>
        </w:rPr>
        <w:t xml:space="preserve">In addition, Merging’s groundbreaking Anubis SPS desktop interface now ships Dante Ready™ at no extra cost. The same applies to Neumann’s acclaimed MT 48 audio interface, which was developed in close collaboration with Merging Technologies. </w:t>
      </w:r>
      <w:proofErr w:type="spellStart"/>
      <w:r w:rsidRPr="00D211CB">
        <w:rPr>
          <w:rFonts w:ascii="Sennheiser Office" w:eastAsia="Sen" w:hAnsi="Sennheiser Office" w:cs="Sen"/>
          <w:bCs/>
          <w:iCs/>
          <w:sz w:val="18"/>
          <w:szCs w:val="18"/>
          <w:lang w:val="fr-FR"/>
        </w:rPr>
        <w:t>Both</w:t>
      </w:r>
      <w:proofErr w:type="spellEnd"/>
      <w:r w:rsidRPr="00D211CB">
        <w:rPr>
          <w:rFonts w:ascii="Sennheiser Office" w:eastAsia="Sen" w:hAnsi="Sennheiser Office" w:cs="Sen"/>
          <w:bCs/>
          <w:iCs/>
          <w:sz w:val="18"/>
          <w:szCs w:val="18"/>
          <w:lang w:val="fr-FR"/>
        </w:rPr>
        <w:t xml:space="preserve"> </w:t>
      </w:r>
      <w:proofErr w:type="spellStart"/>
      <w:r w:rsidRPr="00D211CB">
        <w:rPr>
          <w:rFonts w:ascii="Sennheiser Office" w:eastAsia="Sen" w:hAnsi="Sennheiser Office" w:cs="Sen"/>
          <w:bCs/>
          <w:iCs/>
          <w:sz w:val="18"/>
          <w:szCs w:val="18"/>
          <w:lang w:val="fr-FR"/>
        </w:rPr>
        <w:t>companies</w:t>
      </w:r>
      <w:proofErr w:type="spellEnd"/>
      <w:r w:rsidRPr="00D211CB">
        <w:rPr>
          <w:rFonts w:ascii="Sennheiser Office" w:eastAsia="Sen" w:hAnsi="Sennheiser Office" w:cs="Sen"/>
          <w:bCs/>
          <w:iCs/>
          <w:sz w:val="18"/>
          <w:szCs w:val="18"/>
          <w:lang w:val="fr-FR"/>
        </w:rPr>
        <w:t xml:space="preserve"> are part of the Sennheiser Group.</w:t>
      </w:r>
    </w:p>
    <w:p w14:paraId="09AAC7E2" w14:textId="2A4D4DC5" w:rsidR="00877635" w:rsidRPr="001D70D1" w:rsidRDefault="00877635" w:rsidP="00877635">
      <w:pPr>
        <w:spacing w:line="360" w:lineRule="auto"/>
        <w:rPr>
          <w:rFonts w:ascii="Sennheiser Office" w:eastAsia="Sen" w:hAnsi="Sennheiser Office" w:cs="Sen"/>
          <w:b/>
          <w:i/>
          <w:sz w:val="18"/>
          <w:szCs w:val="18"/>
          <w:lang w:val="fr-FR"/>
        </w:rPr>
      </w:pPr>
      <w:r w:rsidRPr="001D70D1">
        <w:rPr>
          <w:rFonts w:ascii="Sennheiser Office" w:eastAsia="Sen" w:hAnsi="Sennheiser Office" w:cs="Sen"/>
          <w:b/>
          <w:i/>
          <w:sz w:val="18"/>
          <w:szCs w:val="18"/>
          <w:lang w:val="fr-FR"/>
        </w:rPr>
        <w:t> </w:t>
      </w:r>
    </w:p>
    <w:p w14:paraId="65528B34" w14:textId="7FA7D916" w:rsidR="00515A42" w:rsidRPr="00716C1E" w:rsidRDefault="009F7EEB">
      <w:pPr>
        <w:rPr>
          <w:rFonts w:ascii="Sennheiser Office" w:eastAsia="Sen" w:hAnsi="Sennheiser Office" w:cs="Sen"/>
          <w:sz w:val="18"/>
          <w:szCs w:val="18"/>
          <w:lang w:val="fr-FR"/>
        </w:rPr>
      </w:pPr>
      <w:r>
        <w:rPr>
          <w:rFonts w:ascii="Sennheiser Office" w:eastAsia="Sen" w:hAnsi="Sennheiser Office" w:cs="Sen"/>
          <w:noProof/>
          <w:sz w:val="18"/>
          <w:szCs w:val="18"/>
          <w:lang w:val="fr-FR"/>
        </w:rPr>
        <w:lastRenderedPageBreak/>
        <w:drawing>
          <wp:inline distT="0" distB="0" distL="0" distR="0" wp14:anchorId="65401641" wp14:editId="399575E4">
            <wp:extent cx="5003800" cy="3335655"/>
            <wp:effectExtent l="0" t="0" r="6350" b="0"/>
            <wp:docPr id="1592566591" name="Image 2" descr="Une image contenant Appareils électroniques, musique, texte,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6591" name="Image 2" descr="Une image contenant Appareils électroniques, musique, texte, Appareil électron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2AB326A7" w14:textId="4D844C97" w:rsidR="00515A42" w:rsidRPr="00AE68DE" w:rsidRDefault="00AE68DE">
      <w:pPr>
        <w:rPr>
          <w:rFonts w:ascii="Sennheiser Office" w:eastAsia="Sen" w:hAnsi="Sennheiser Office" w:cs="Sen"/>
          <w:sz w:val="18"/>
          <w:szCs w:val="18"/>
        </w:rPr>
      </w:pPr>
      <w:r w:rsidRPr="00AE68DE">
        <w:rPr>
          <w:rFonts w:ascii="Sennheiser Office" w:eastAsia="Sen" w:hAnsi="Sennheiser Office" w:cs="Sen"/>
          <w:i/>
          <w:iCs/>
          <w:sz w:val="18"/>
          <w:szCs w:val="18"/>
        </w:rPr>
        <w:t xml:space="preserve">The Merging </w:t>
      </w:r>
      <w:proofErr w:type="spellStart"/>
      <w:r w:rsidRPr="00AE68DE">
        <w:rPr>
          <w:rFonts w:ascii="Sennheiser Office" w:eastAsia="Sen" w:hAnsi="Sennheiser Office" w:cs="Sen"/>
          <w:i/>
          <w:iCs/>
          <w:sz w:val="18"/>
          <w:szCs w:val="18"/>
        </w:rPr>
        <w:t>Hapi</w:t>
      </w:r>
      <w:proofErr w:type="spellEnd"/>
      <w:r w:rsidRPr="00AE68DE">
        <w:rPr>
          <w:rFonts w:ascii="Sennheiser Office" w:eastAsia="Sen" w:hAnsi="Sennheiser Office" w:cs="Sen"/>
          <w:i/>
          <w:iCs/>
          <w:sz w:val="18"/>
          <w:szCs w:val="18"/>
        </w:rPr>
        <w:t xml:space="preserve"> Mk III offers extensive routing capabilities for Dante and</w:t>
      </w:r>
      <w:r>
        <w:rPr>
          <w:rFonts w:ascii="Sennheiser Office" w:eastAsia="Sen" w:hAnsi="Sennheiser Office" w:cs="Sen"/>
          <w:i/>
          <w:iCs/>
          <w:sz w:val="18"/>
          <w:szCs w:val="18"/>
        </w:rPr>
        <w:t xml:space="preserve"> </w:t>
      </w:r>
      <w:r w:rsidRPr="00AE68DE">
        <w:rPr>
          <w:rFonts w:ascii="Sennheiser Office" w:eastAsia="Sen" w:hAnsi="Sennheiser Office" w:cs="Sen"/>
          <w:i/>
          <w:iCs/>
          <w:sz w:val="18"/>
          <w:szCs w:val="18"/>
        </w:rPr>
        <w:t>RAVENNA/AES67.</w:t>
      </w:r>
    </w:p>
    <w:p w14:paraId="4182AF1A" w14:textId="77777777" w:rsidR="00AE68DE" w:rsidRDefault="00AE68DE" w:rsidP="00AE68DE">
      <w:pPr>
        <w:rPr>
          <w:rFonts w:ascii="Sennheiser Office" w:eastAsia="Sen" w:hAnsi="Sennheiser Office" w:cs="Sen"/>
          <w:b/>
          <w:sz w:val="18"/>
          <w:szCs w:val="18"/>
        </w:rPr>
      </w:pPr>
    </w:p>
    <w:p w14:paraId="35E27C0D" w14:textId="392AFEED" w:rsidR="00AE68DE" w:rsidRDefault="00AE68DE" w:rsidP="00AE68DE">
      <w:pPr>
        <w:rPr>
          <w:rFonts w:ascii="Sennheiser Office" w:eastAsia="Sen" w:hAnsi="Sennheiser Office" w:cs="Sen"/>
          <w:bCs/>
          <w:sz w:val="18"/>
          <w:szCs w:val="18"/>
        </w:rPr>
      </w:pPr>
      <w:r w:rsidRPr="00AE68DE">
        <w:rPr>
          <w:rFonts w:ascii="Sennheiser Office" w:eastAsia="Sen" w:hAnsi="Sennheiser Office" w:cs="Sen"/>
          <w:bCs/>
          <w:sz w:val="18"/>
          <w:szCs w:val="18"/>
        </w:rPr>
        <w:t>Acclaimed immersive music producer and mixing engineer Ronald Prent of Proper Prent Sound, known for his work with Depeche Mode, Simple Minds, Tina Turner and many others, had the opportunity to use the new Dante features before the official release:</w:t>
      </w:r>
    </w:p>
    <w:p w14:paraId="0EE5C364" w14:textId="77777777" w:rsidR="008C08BE" w:rsidRPr="00AE68DE" w:rsidRDefault="008C08BE" w:rsidP="00AE68DE">
      <w:pPr>
        <w:rPr>
          <w:rFonts w:ascii="Sennheiser Office" w:eastAsia="Sen" w:hAnsi="Sennheiser Office" w:cs="Sen"/>
          <w:bCs/>
          <w:sz w:val="18"/>
          <w:szCs w:val="18"/>
        </w:rPr>
      </w:pPr>
    </w:p>
    <w:p w14:paraId="4CBDDBEF" w14:textId="7456EB40" w:rsidR="00AE68DE" w:rsidRPr="00AE68DE" w:rsidRDefault="00AE68DE" w:rsidP="00AE68DE">
      <w:pPr>
        <w:rPr>
          <w:rFonts w:ascii="Sennheiser Office" w:eastAsia="Sen" w:hAnsi="Sennheiser Office" w:cs="Sen"/>
          <w:bCs/>
          <w:i/>
          <w:iCs/>
          <w:sz w:val="18"/>
          <w:szCs w:val="18"/>
        </w:rPr>
      </w:pPr>
      <w:r w:rsidRPr="008C08BE">
        <w:rPr>
          <w:rFonts w:ascii="Sennheiser Office" w:eastAsia="Sen" w:hAnsi="Sennheiser Office" w:cs="Sen"/>
          <w:bCs/>
          <w:i/>
          <w:iCs/>
          <w:sz w:val="18"/>
          <w:szCs w:val="18"/>
        </w:rPr>
        <w:t>“</w:t>
      </w:r>
      <w:r w:rsidRPr="00AE68DE">
        <w:rPr>
          <w:rFonts w:ascii="Sennheiser Office" w:eastAsia="Sen" w:hAnsi="Sennheiser Office" w:cs="Sen"/>
          <w:bCs/>
          <w:i/>
          <w:iCs/>
          <w:sz w:val="18"/>
          <w:szCs w:val="18"/>
        </w:rPr>
        <w:t xml:space="preserve">I have put the MT-48 thru its paces, and I am really thrilled about how it works, especially the integration with USB to Dante or Ravenna is excellent. When on the road moving thru studios it easily integrates into any modern studio infrastructure </w:t>
      </w:r>
      <w:proofErr w:type="gramStart"/>
      <w:r w:rsidRPr="00AE68DE">
        <w:rPr>
          <w:rFonts w:ascii="Sennheiser Office" w:eastAsia="Sen" w:hAnsi="Sennheiser Office" w:cs="Sen"/>
          <w:bCs/>
          <w:i/>
          <w:iCs/>
          <w:sz w:val="18"/>
          <w:szCs w:val="18"/>
        </w:rPr>
        <w:t>in particular with</w:t>
      </w:r>
      <w:proofErr w:type="gramEnd"/>
      <w:r w:rsidRPr="00AE68DE">
        <w:rPr>
          <w:rFonts w:ascii="Sennheiser Office" w:eastAsia="Sen" w:hAnsi="Sennheiser Office" w:cs="Sen"/>
          <w:bCs/>
          <w:i/>
          <w:iCs/>
          <w:sz w:val="18"/>
          <w:szCs w:val="18"/>
        </w:rPr>
        <w:t xml:space="preserve"> all the Immersive formats, and when we use it with both Music- and Monitor-Mission it works very well in all cases. In short, it’s great and makes my immersive life so much happier!”</w:t>
      </w:r>
    </w:p>
    <w:p w14:paraId="06F7B295" w14:textId="77777777" w:rsidR="00AE68DE" w:rsidRPr="00AE68DE" w:rsidRDefault="00AE68DE">
      <w:pPr>
        <w:rPr>
          <w:rFonts w:ascii="Sennheiser Office" w:eastAsia="Sen" w:hAnsi="Sennheiser Office" w:cs="Sen"/>
          <w:bCs/>
          <w:sz w:val="18"/>
          <w:szCs w:val="18"/>
        </w:rPr>
      </w:pPr>
    </w:p>
    <w:p w14:paraId="414D3F80" w14:textId="22613595" w:rsidR="00AE68DE" w:rsidRDefault="00AE68DE">
      <w:pPr>
        <w:rPr>
          <w:rFonts w:ascii="Sennheiser Office" w:eastAsia="Sen" w:hAnsi="Sennheiser Office" w:cs="Sen"/>
          <w:b/>
          <w:sz w:val="18"/>
          <w:szCs w:val="18"/>
        </w:rPr>
      </w:pPr>
      <w:r>
        <w:rPr>
          <w:rFonts w:ascii="Sennheiser Office" w:eastAsia="Sen" w:hAnsi="Sennheiser Office" w:cs="Sen"/>
          <w:b/>
          <w:noProof/>
          <w:sz w:val="18"/>
          <w:szCs w:val="18"/>
        </w:rPr>
        <w:lastRenderedPageBreak/>
        <w:drawing>
          <wp:inline distT="0" distB="0" distL="0" distR="0" wp14:anchorId="06516801" wp14:editId="60BDB7FE">
            <wp:extent cx="5003800" cy="2776855"/>
            <wp:effectExtent l="0" t="0" r="6350" b="4445"/>
            <wp:docPr id="1678778961" name="Image 3" descr="Une image contenant Appareils électroniques, Appareil électronique,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78961" name="Image 3" descr="Une image contenant Appareils électroniques, Appareil électronique, ordinateur, intérieur&#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003800" cy="2776855"/>
                    </a:xfrm>
                    <a:prstGeom prst="rect">
                      <a:avLst/>
                    </a:prstGeom>
                  </pic:spPr>
                </pic:pic>
              </a:graphicData>
            </a:graphic>
          </wp:inline>
        </w:drawing>
      </w:r>
    </w:p>
    <w:p w14:paraId="03784CE7" w14:textId="4B2F83F5" w:rsidR="00AE68DE" w:rsidRPr="008C08BE" w:rsidRDefault="008C08BE">
      <w:pPr>
        <w:rPr>
          <w:rFonts w:ascii="Sennheiser Office" w:eastAsia="Sen" w:hAnsi="Sennheiser Office" w:cs="Sen"/>
          <w:bCs/>
          <w:i/>
          <w:iCs/>
          <w:sz w:val="18"/>
          <w:szCs w:val="18"/>
        </w:rPr>
      </w:pPr>
      <w:r w:rsidRPr="008C08BE">
        <w:rPr>
          <w:rFonts w:ascii="Sennheiser Office" w:eastAsia="Sen" w:hAnsi="Sennheiser Office" w:cs="Sen"/>
          <w:bCs/>
          <w:i/>
          <w:iCs/>
          <w:sz w:val="18"/>
          <w:szCs w:val="18"/>
        </w:rPr>
        <w:t xml:space="preserve">The Neumann MT 48 </w:t>
      </w:r>
      <w:r w:rsidRPr="008C08BE">
        <w:rPr>
          <w:rFonts w:ascii="Arial" w:eastAsia="Sen" w:hAnsi="Arial" w:cs="Arial"/>
          <w:bCs/>
          <w:i/>
          <w:iCs/>
          <w:sz w:val="18"/>
          <w:szCs w:val="18"/>
        </w:rPr>
        <w:t>​</w:t>
      </w:r>
      <w:r w:rsidRPr="008C08BE">
        <w:rPr>
          <w:rFonts w:ascii="Sennheiser Office" w:eastAsia="Sen" w:hAnsi="Sennheiser Office" w:cs="Sen"/>
          <w:bCs/>
          <w:i/>
          <w:iCs/>
          <w:sz w:val="18"/>
          <w:szCs w:val="18"/>
        </w:rPr>
        <w:t xml:space="preserve"> can even connect Dante and RAVENNA/AES67 </w:t>
      </w:r>
      <w:proofErr w:type="spellStart"/>
      <w:r w:rsidRPr="008C08BE">
        <w:rPr>
          <w:rFonts w:ascii="Sennheiser Office" w:eastAsia="Sen" w:hAnsi="Sennheiser Office" w:cs="Sen"/>
          <w:bCs/>
          <w:i/>
          <w:iCs/>
          <w:sz w:val="18"/>
          <w:szCs w:val="18"/>
        </w:rPr>
        <w:t>AoIP</w:t>
      </w:r>
      <w:proofErr w:type="spellEnd"/>
      <w:r w:rsidRPr="008C08BE">
        <w:rPr>
          <w:rFonts w:ascii="Sennheiser Office" w:eastAsia="Sen" w:hAnsi="Sennheiser Office" w:cs="Sen"/>
          <w:bCs/>
          <w:i/>
          <w:iCs/>
          <w:sz w:val="18"/>
          <w:szCs w:val="18"/>
        </w:rPr>
        <w:t xml:space="preserve"> networks to USB Class Compliant systems.</w:t>
      </w:r>
    </w:p>
    <w:p w14:paraId="017923F3" w14:textId="77777777" w:rsidR="008C08BE" w:rsidRDefault="008C08BE">
      <w:pPr>
        <w:rPr>
          <w:rFonts w:ascii="Sennheiser Office" w:eastAsia="Sen" w:hAnsi="Sennheiser Office" w:cs="Sen"/>
          <w:b/>
          <w:i/>
          <w:iCs/>
          <w:sz w:val="18"/>
          <w:szCs w:val="18"/>
        </w:rPr>
      </w:pPr>
    </w:p>
    <w:p w14:paraId="6126DA27" w14:textId="77777777" w:rsidR="008C08BE" w:rsidRDefault="008C08BE" w:rsidP="008C08BE">
      <w:pPr>
        <w:rPr>
          <w:rFonts w:ascii="Sennheiser Office" w:eastAsia="Sen" w:hAnsi="Sennheiser Office" w:cs="Sen"/>
          <w:bCs/>
          <w:sz w:val="18"/>
          <w:szCs w:val="18"/>
        </w:rPr>
      </w:pPr>
      <w:r w:rsidRPr="008C08BE">
        <w:rPr>
          <w:rFonts w:ascii="Sennheiser Office" w:eastAsia="Sen" w:hAnsi="Sennheiser Office" w:cs="Sen"/>
          <w:bCs/>
          <w:sz w:val="18"/>
          <w:szCs w:val="18"/>
        </w:rPr>
        <w:t>Dante</w:t>
      </w:r>
      <w:r w:rsidRPr="008C08BE">
        <w:rPr>
          <w:rFonts w:ascii="Sennheiser Office" w:eastAsia="Sen" w:hAnsi="Sennheiser Office" w:cs="Sen"/>
          <w:bCs/>
          <w:sz w:val="18"/>
          <w:szCs w:val="18"/>
          <w:vertAlign w:val="superscript"/>
        </w:rPr>
        <w:t>®</w:t>
      </w:r>
      <w:r w:rsidRPr="008C08BE">
        <w:rPr>
          <w:rFonts w:ascii="Sennheiser Office" w:eastAsia="Sen" w:hAnsi="Sennheiser Office" w:cs="Sen"/>
          <w:bCs/>
          <w:sz w:val="18"/>
          <w:szCs w:val="18"/>
        </w:rPr>
        <w:t> is the leading Audio-over-IP (</w:t>
      </w:r>
      <w:proofErr w:type="spellStart"/>
      <w:r w:rsidRPr="008C08BE">
        <w:rPr>
          <w:rFonts w:ascii="Sennheiser Office" w:eastAsia="Sen" w:hAnsi="Sennheiser Office" w:cs="Sen"/>
          <w:bCs/>
          <w:sz w:val="18"/>
          <w:szCs w:val="18"/>
        </w:rPr>
        <w:t>AoIP</w:t>
      </w:r>
      <w:proofErr w:type="spellEnd"/>
      <w:r w:rsidRPr="008C08BE">
        <w:rPr>
          <w:rFonts w:ascii="Sennheiser Office" w:eastAsia="Sen" w:hAnsi="Sennheiser Office" w:cs="Sen"/>
          <w:bCs/>
          <w:sz w:val="18"/>
          <w:szCs w:val="18"/>
        </w:rPr>
        <w:t xml:space="preserve">) standard, especially for live applications and installations. With the Dante Ready™ option, Merging’s </w:t>
      </w:r>
      <w:proofErr w:type="spellStart"/>
      <w:r w:rsidRPr="008C08BE">
        <w:rPr>
          <w:rFonts w:ascii="Sennheiser Office" w:eastAsia="Sen" w:hAnsi="Sennheiser Office" w:cs="Sen"/>
          <w:bCs/>
          <w:sz w:val="18"/>
          <w:szCs w:val="18"/>
        </w:rPr>
        <w:t>Hapi</w:t>
      </w:r>
      <w:proofErr w:type="spellEnd"/>
      <w:r w:rsidRPr="008C08BE">
        <w:rPr>
          <w:rFonts w:ascii="Sennheiser Office" w:eastAsia="Sen" w:hAnsi="Sennheiser Office" w:cs="Sen"/>
          <w:bCs/>
          <w:sz w:val="18"/>
          <w:szCs w:val="18"/>
        </w:rPr>
        <w:t xml:space="preserve"> Mk III and Anubis as well as Neumann’s MT 48 become compatible with a world of over 4,000 devices from more than 600 manufacturers.</w:t>
      </w:r>
    </w:p>
    <w:p w14:paraId="17D688BA" w14:textId="77777777" w:rsidR="008C08BE" w:rsidRPr="008C08BE" w:rsidRDefault="008C08BE" w:rsidP="008C08BE">
      <w:pPr>
        <w:rPr>
          <w:rFonts w:ascii="Sennheiser Office" w:eastAsia="Sen" w:hAnsi="Sennheiser Office" w:cs="Sen"/>
          <w:bCs/>
          <w:sz w:val="18"/>
          <w:szCs w:val="18"/>
        </w:rPr>
      </w:pPr>
    </w:p>
    <w:p w14:paraId="2A8BE4D5" w14:textId="77777777" w:rsidR="008C08BE" w:rsidRDefault="008C08BE" w:rsidP="008C08BE">
      <w:pPr>
        <w:rPr>
          <w:rFonts w:ascii="Sennheiser Office" w:eastAsia="Sen" w:hAnsi="Sennheiser Office" w:cs="Sen"/>
          <w:bCs/>
          <w:sz w:val="18"/>
          <w:szCs w:val="18"/>
        </w:rPr>
      </w:pPr>
      <w:r w:rsidRPr="008C08BE">
        <w:rPr>
          <w:rFonts w:ascii="Sennheiser Office" w:eastAsia="Sen" w:hAnsi="Sennheiser Office" w:cs="Sen"/>
          <w:bCs/>
          <w:sz w:val="18"/>
          <w:szCs w:val="18"/>
        </w:rPr>
        <w:t xml:space="preserve">Yasmine Riechers, CEO of Neumann </w:t>
      </w:r>
      <w:proofErr w:type="gramStart"/>
      <w:r w:rsidRPr="008C08BE">
        <w:rPr>
          <w:rFonts w:ascii="Sennheiser Office" w:eastAsia="Sen" w:hAnsi="Sennheiser Office" w:cs="Sen"/>
          <w:bCs/>
          <w:sz w:val="18"/>
          <w:szCs w:val="18"/>
        </w:rPr>
        <w:t>and also</w:t>
      </w:r>
      <w:proofErr w:type="gramEnd"/>
      <w:r w:rsidRPr="008C08BE">
        <w:rPr>
          <w:rFonts w:ascii="Sennheiser Office" w:eastAsia="Sen" w:hAnsi="Sennheiser Office" w:cs="Sen"/>
          <w:bCs/>
          <w:sz w:val="18"/>
          <w:szCs w:val="18"/>
        </w:rPr>
        <w:t xml:space="preserve"> responsible for Merging Technologies states that “Adding a Dante option is a testament to our customer-centric approach and has no impact on Neumann’s and Merging’s commitment to RAVENNA/AES67. </w:t>
      </w:r>
      <w:proofErr w:type="gramStart"/>
      <w:r w:rsidRPr="008C08BE">
        <w:rPr>
          <w:rFonts w:ascii="Sennheiser Office" w:eastAsia="Sen" w:hAnsi="Sennheiser Office" w:cs="Sen"/>
          <w:bCs/>
          <w:sz w:val="18"/>
          <w:szCs w:val="18"/>
        </w:rPr>
        <w:t xml:space="preserve">Both </w:t>
      </w:r>
      <w:proofErr w:type="spellStart"/>
      <w:r w:rsidRPr="008C08BE">
        <w:rPr>
          <w:rFonts w:ascii="Sennheiser Office" w:eastAsia="Sen" w:hAnsi="Sennheiser Office" w:cs="Sen"/>
          <w:bCs/>
          <w:sz w:val="18"/>
          <w:szCs w:val="18"/>
        </w:rPr>
        <w:t>AoIP</w:t>
      </w:r>
      <w:proofErr w:type="spellEnd"/>
      <w:proofErr w:type="gramEnd"/>
      <w:r w:rsidRPr="008C08BE">
        <w:rPr>
          <w:rFonts w:ascii="Sennheiser Office" w:eastAsia="Sen" w:hAnsi="Sennheiser Office" w:cs="Sen"/>
          <w:bCs/>
          <w:sz w:val="18"/>
          <w:szCs w:val="18"/>
        </w:rPr>
        <w:t xml:space="preserve"> standards have their specific advantages depending on the use case. That’s why we’ve created an </w:t>
      </w:r>
      <w:r w:rsidRPr="008C08BE">
        <w:rPr>
          <w:rFonts w:ascii="Arial" w:eastAsia="Sen" w:hAnsi="Arial" w:cs="Arial"/>
          <w:bCs/>
          <w:sz w:val="18"/>
          <w:szCs w:val="18"/>
        </w:rPr>
        <w:t>​</w:t>
      </w:r>
      <w:r w:rsidRPr="008C08BE">
        <w:rPr>
          <w:rFonts w:ascii="Sennheiser Office" w:eastAsia="Sen" w:hAnsi="Sennheiser Office" w:cs="Sennheiser Office"/>
          <w:bCs/>
          <w:sz w:val="18"/>
          <w:szCs w:val="18"/>
        </w:rPr>
        <w:t> </w:t>
      </w:r>
      <w:hyperlink r:id="rId13" w:tgtFrame="_blank" w:history="1">
        <w:r w:rsidRPr="008C08BE">
          <w:rPr>
            <w:rStyle w:val="Lienhypertexte"/>
            <w:rFonts w:ascii="Sennheiser Office" w:eastAsia="Sen" w:hAnsi="Sennheiser Office" w:cs="Sen"/>
            <w:bCs/>
            <w:sz w:val="18"/>
            <w:szCs w:val="18"/>
          </w:rPr>
          <w:t>FAQ</w:t>
        </w:r>
      </w:hyperlink>
      <w:r w:rsidRPr="008C08BE">
        <w:rPr>
          <w:rFonts w:ascii="Sennheiser Office" w:eastAsia="Sen" w:hAnsi="Sennheiser Office" w:cs="Sen"/>
          <w:bCs/>
          <w:sz w:val="18"/>
          <w:szCs w:val="18"/>
        </w:rPr>
        <w:t> page to help customers choose the best solution for their needs.”</w:t>
      </w:r>
    </w:p>
    <w:p w14:paraId="13062F8C" w14:textId="77777777" w:rsidR="008C08BE" w:rsidRPr="008C08BE" w:rsidRDefault="008C08BE" w:rsidP="008C08BE">
      <w:pPr>
        <w:rPr>
          <w:rFonts w:ascii="Sennheiser Office" w:eastAsia="Sen" w:hAnsi="Sennheiser Office" w:cs="Sen"/>
          <w:bCs/>
          <w:sz w:val="18"/>
          <w:szCs w:val="18"/>
        </w:rPr>
      </w:pPr>
    </w:p>
    <w:p w14:paraId="53D690FA" w14:textId="77777777" w:rsidR="008C08BE" w:rsidRDefault="008C08BE" w:rsidP="008C08BE">
      <w:pPr>
        <w:rPr>
          <w:rFonts w:ascii="Sennheiser Office" w:eastAsia="Sen" w:hAnsi="Sennheiser Office" w:cs="Sen"/>
          <w:bCs/>
          <w:sz w:val="18"/>
          <w:szCs w:val="18"/>
        </w:rPr>
      </w:pPr>
      <w:r w:rsidRPr="008C08BE">
        <w:rPr>
          <w:rFonts w:ascii="Sennheiser Office" w:eastAsia="Sen" w:hAnsi="Sennheiser Office" w:cs="Sen"/>
          <w:b/>
          <w:sz w:val="18"/>
          <w:szCs w:val="18"/>
        </w:rPr>
        <w:t>About the Dante Ready™ option and upgrades</w:t>
      </w:r>
      <w:r w:rsidRPr="008C08BE">
        <w:rPr>
          <w:rFonts w:ascii="Sennheiser Office" w:eastAsia="Sen" w:hAnsi="Sennheiser Office" w:cs="Sen"/>
          <w:bCs/>
          <w:sz w:val="18"/>
          <w:szCs w:val="18"/>
        </w:rPr>
        <w:br/>
      </w:r>
      <w:r w:rsidRPr="008C08BE">
        <w:rPr>
          <w:rFonts w:ascii="Arial" w:eastAsia="Sen" w:hAnsi="Arial" w:cs="Arial"/>
          <w:bCs/>
          <w:sz w:val="18"/>
          <w:szCs w:val="18"/>
        </w:rPr>
        <w:t>​</w:t>
      </w:r>
      <w:r w:rsidRPr="008C08BE">
        <w:rPr>
          <w:rFonts w:ascii="Sennheiser Office" w:eastAsia="Sen" w:hAnsi="Sennheiser Office" w:cs="Sen"/>
          <w:bCs/>
          <w:sz w:val="18"/>
          <w:szCs w:val="18"/>
        </w:rPr>
        <w:t xml:space="preserve">Dante Ready™ means, </w:t>
      </w:r>
      <w:proofErr w:type="spellStart"/>
      <w:r w:rsidRPr="008C08BE">
        <w:rPr>
          <w:rFonts w:ascii="Sennheiser Office" w:eastAsia="Sen" w:hAnsi="Sennheiser Office" w:cs="Sen"/>
          <w:bCs/>
          <w:sz w:val="18"/>
          <w:szCs w:val="18"/>
        </w:rPr>
        <w:t>Audinate’s</w:t>
      </w:r>
      <w:proofErr w:type="spellEnd"/>
      <w:r w:rsidRPr="008C08BE">
        <w:rPr>
          <w:rFonts w:ascii="Sennheiser Office" w:eastAsia="Sen" w:hAnsi="Sennheiser Office" w:cs="Sen"/>
          <w:bCs/>
          <w:sz w:val="18"/>
          <w:szCs w:val="18"/>
        </w:rPr>
        <w:t xml:space="preserve"> network standard is available to those who need </w:t>
      </w:r>
      <w:proofErr w:type="gramStart"/>
      <w:r w:rsidRPr="008C08BE">
        <w:rPr>
          <w:rFonts w:ascii="Sennheiser Office" w:eastAsia="Sen" w:hAnsi="Sennheiser Office" w:cs="Sen"/>
          <w:bCs/>
          <w:sz w:val="18"/>
          <w:szCs w:val="18"/>
        </w:rPr>
        <w:t>it, but</w:t>
      </w:r>
      <w:proofErr w:type="gramEnd"/>
      <w:r w:rsidRPr="008C08BE">
        <w:rPr>
          <w:rFonts w:ascii="Sennheiser Office" w:eastAsia="Sen" w:hAnsi="Sennheiser Office" w:cs="Sen"/>
          <w:bCs/>
          <w:sz w:val="18"/>
          <w:szCs w:val="18"/>
        </w:rPr>
        <w:t xml:space="preserve"> will incur no extra cost to those who do not require Dante. Ex-factory, </w:t>
      </w:r>
      <w:proofErr w:type="spellStart"/>
      <w:r w:rsidRPr="008C08BE">
        <w:rPr>
          <w:rFonts w:ascii="Sennheiser Office" w:eastAsia="Sen" w:hAnsi="Sennheiser Office" w:cs="Sen"/>
          <w:bCs/>
          <w:sz w:val="18"/>
          <w:szCs w:val="18"/>
        </w:rPr>
        <w:t>Hapi</w:t>
      </w:r>
      <w:proofErr w:type="spellEnd"/>
      <w:r w:rsidRPr="008C08BE">
        <w:rPr>
          <w:rFonts w:ascii="Sennheiser Office" w:eastAsia="Sen" w:hAnsi="Sennheiser Office" w:cs="Sen"/>
          <w:bCs/>
          <w:sz w:val="18"/>
          <w:szCs w:val="18"/>
        </w:rPr>
        <w:t xml:space="preserve"> Mk III, Anubis and MT 48 continue shipping with the pre-installed RAVENNA/AES67 firmware. The alternative Dante firmware is offered free of charge and can easily be installed using the MT Portal application. For Dante operation, a Dante channel I/O license must be purchased from </w:t>
      </w:r>
      <w:proofErr w:type="spellStart"/>
      <w:r w:rsidRPr="008C08BE">
        <w:rPr>
          <w:rFonts w:ascii="Sennheiser Office" w:eastAsia="Sen" w:hAnsi="Sennheiser Office" w:cs="Sen"/>
          <w:bCs/>
          <w:sz w:val="18"/>
          <w:szCs w:val="18"/>
        </w:rPr>
        <w:t>Audinate</w:t>
      </w:r>
      <w:proofErr w:type="spellEnd"/>
      <w:r w:rsidRPr="008C08BE">
        <w:rPr>
          <w:rFonts w:ascii="Sennheiser Office" w:eastAsia="Sen" w:hAnsi="Sennheiser Office" w:cs="Sen"/>
          <w:bCs/>
          <w:sz w:val="18"/>
          <w:szCs w:val="18"/>
        </w:rPr>
        <w:t>.</w:t>
      </w:r>
    </w:p>
    <w:p w14:paraId="0A91F112" w14:textId="1197C5C9" w:rsidR="008C08BE" w:rsidRPr="008C08BE" w:rsidRDefault="008C08BE" w:rsidP="008C08BE">
      <w:pPr>
        <w:rPr>
          <w:rFonts w:ascii="Sennheiser Office" w:eastAsia="Sen" w:hAnsi="Sennheiser Office" w:cs="Sen"/>
          <w:bCs/>
          <w:sz w:val="18"/>
          <w:szCs w:val="18"/>
        </w:rPr>
      </w:pPr>
      <w:r>
        <w:rPr>
          <w:rFonts w:ascii="Sennheiser Office" w:eastAsia="Sen" w:hAnsi="Sennheiser Office" w:cs="Sen"/>
          <w:bCs/>
          <w:noProof/>
          <w:sz w:val="18"/>
          <w:szCs w:val="18"/>
        </w:rPr>
        <w:lastRenderedPageBreak/>
        <w:drawing>
          <wp:inline distT="0" distB="0" distL="0" distR="0" wp14:anchorId="068B6FA3" wp14:editId="7D7EF570">
            <wp:extent cx="5003800" cy="3335655"/>
            <wp:effectExtent l="0" t="0" r="6350" b="0"/>
            <wp:docPr id="306511320" name="Image 4" descr="Une image contenant personne, intérieur, Clavier d’ordinateur, Matériel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1320" name="Image 4" descr="Une image contenant personne, intérieur, Clavier d’ordinateur, Matériel de bureau&#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770F86A4" w14:textId="6EF862DB" w:rsidR="008C08BE" w:rsidRDefault="00426FFE">
      <w:pPr>
        <w:rPr>
          <w:rFonts w:ascii="Sennheiser Office" w:eastAsia="Sen" w:hAnsi="Sennheiser Office" w:cs="Sen"/>
          <w:b/>
          <w:i/>
          <w:iCs/>
          <w:sz w:val="18"/>
          <w:szCs w:val="18"/>
        </w:rPr>
      </w:pPr>
      <w:r w:rsidRPr="00426FFE">
        <w:rPr>
          <w:rFonts w:ascii="Sennheiser Office" w:eastAsia="Sen" w:hAnsi="Sennheiser Office" w:cs="Sen"/>
          <w:b/>
          <w:i/>
          <w:iCs/>
          <w:sz w:val="18"/>
          <w:szCs w:val="18"/>
        </w:rPr>
        <w:t>The Merging Anubis also offers the Dante Ready™ option.</w:t>
      </w:r>
    </w:p>
    <w:p w14:paraId="2E147022" w14:textId="77777777" w:rsidR="00426FFE" w:rsidRDefault="00426FFE">
      <w:pPr>
        <w:rPr>
          <w:rFonts w:ascii="Sennheiser Office" w:eastAsia="Sen" w:hAnsi="Sennheiser Office" w:cs="Sen"/>
          <w:b/>
          <w:i/>
          <w:iCs/>
          <w:sz w:val="18"/>
          <w:szCs w:val="18"/>
        </w:rPr>
      </w:pPr>
    </w:p>
    <w:p w14:paraId="3B9AB7FE" w14:textId="77777777" w:rsidR="00426FFE" w:rsidRDefault="00426FFE" w:rsidP="00426FFE">
      <w:pPr>
        <w:rPr>
          <w:rFonts w:ascii="Sennheiser Office" w:eastAsia="Sen" w:hAnsi="Sennheiser Office" w:cs="Sen"/>
          <w:bCs/>
          <w:sz w:val="18"/>
          <w:szCs w:val="18"/>
        </w:rPr>
      </w:pPr>
      <w:r w:rsidRPr="00426FFE">
        <w:rPr>
          <w:rFonts w:ascii="Sennheiser Office" w:eastAsia="Sen" w:hAnsi="Sennheiser Office" w:cs="Sen"/>
          <w:bCs/>
          <w:sz w:val="18"/>
          <w:szCs w:val="18"/>
        </w:rPr>
        <w:t>For existing MT 48 customers and owners of Anubis SPS (Pro and Premium), a Dante Ready upgrade will be available soon.</w:t>
      </w:r>
      <w:r w:rsidRPr="00426FFE">
        <w:rPr>
          <w:rFonts w:ascii="Sennheiser Office" w:eastAsia="Sen" w:hAnsi="Sennheiser Office" w:cs="Sen"/>
          <w:bCs/>
          <w:sz w:val="18"/>
          <w:szCs w:val="18"/>
        </w:rPr>
        <w:br/>
      </w:r>
      <w:r w:rsidRPr="00426FFE">
        <w:rPr>
          <w:rFonts w:ascii="Arial" w:eastAsia="Sen" w:hAnsi="Arial" w:cs="Arial"/>
          <w:bCs/>
          <w:sz w:val="18"/>
          <w:szCs w:val="18"/>
        </w:rPr>
        <w:t>​</w:t>
      </w:r>
      <w:r w:rsidRPr="00426FFE">
        <w:rPr>
          <w:rFonts w:ascii="Sennheiser Office" w:eastAsia="Sen" w:hAnsi="Sennheiser Office" w:cs="Sen"/>
          <w:bCs/>
          <w:sz w:val="18"/>
          <w:szCs w:val="18"/>
        </w:rPr>
        <w:t>“We understand that existing end customers may wish to use Dante, even if it was not part of the original scope of the product they purchased. Therefore, we’ve worked hard to find a solution”, asserts Stephan Mauer, Head of Product. “From February 1, 2025, Neumann Service will offer a Dante Ready™ upgrade for older MT 48 and Anubis SPS devices.”</w:t>
      </w:r>
    </w:p>
    <w:p w14:paraId="52D32D61" w14:textId="77777777" w:rsidR="00426FFE" w:rsidRPr="00426FFE" w:rsidRDefault="00426FFE" w:rsidP="00426FFE">
      <w:pPr>
        <w:rPr>
          <w:rFonts w:ascii="Sennheiser Office" w:eastAsia="Sen" w:hAnsi="Sennheiser Office" w:cs="Sen"/>
          <w:bCs/>
          <w:sz w:val="18"/>
          <w:szCs w:val="18"/>
        </w:rPr>
      </w:pPr>
    </w:p>
    <w:p w14:paraId="39916AE2" w14:textId="77777777" w:rsidR="00426FFE" w:rsidRDefault="00426FFE" w:rsidP="00426FFE">
      <w:pPr>
        <w:rPr>
          <w:rFonts w:ascii="Sennheiser Office" w:eastAsia="Sen" w:hAnsi="Sennheiser Office" w:cs="Sen"/>
          <w:bCs/>
          <w:sz w:val="18"/>
          <w:szCs w:val="18"/>
        </w:rPr>
      </w:pPr>
      <w:r w:rsidRPr="00426FFE">
        <w:rPr>
          <w:rFonts w:ascii="Sennheiser Office" w:eastAsia="Sen" w:hAnsi="Sennheiser Office" w:cs="Sen"/>
          <w:bCs/>
          <w:sz w:val="18"/>
          <w:szCs w:val="18"/>
        </w:rPr>
        <w:t>For more information, please visit the </w:t>
      </w:r>
      <w:hyperlink r:id="rId15" w:tgtFrame="_blank" w:history="1">
        <w:r w:rsidRPr="00426FFE">
          <w:rPr>
            <w:rStyle w:val="Lienhypertexte"/>
            <w:rFonts w:ascii="Sennheiser Office" w:eastAsia="Sen" w:hAnsi="Sennheiser Office" w:cs="Sen"/>
            <w:bCs/>
            <w:sz w:val="18"/>
            <w:szCs w:val="18"/>
          </w:rPr>
          <w:t>Merging Technologies</w:t>
        </w:r>
      </w:hyperlink>
      <w:r w:rsidRPr="00426FFE">
        <w:rPr>
          <w:rFonts w:ascii="Sennheiser Office" w:eastAsia="Sen" w:hAnsi="Sennheiser Office" w:cs="Sen"/>
          <w:bCs/>
          <w:sz w:val="18"/>
          <w:szCs w:val="18"/>
        </w:rPr>
        <w:t> und </w:t>
      </w:r>
      <w:hyperlink r:id="rId16" w:tgtFrame="_blank" w:history="1">
        <w:r w:rsidRPr="00426FFE">
          <w:rPr>
            <w:rStyle w:val="Lienhypertexte"/>
            <w:rFonts w:ascii="Sennheiser Office" w:eastAsia="Sen" w:hAnsi="Sennheiser Office" w:cs="Sen"/>
            <w:bCs/>
            <w:sz w:val="18"/>
            <w:szCs w:val="18"/>
          </w:rPr>
          <w:t>Neumann</w:t>
        </w:r>
      </w:hyperlink>
      <w:r w:rsidRPr="00426FFE">
        <w:rPr>
          <w:rFonts w:ascii="Sennheiser Office" w:eastAsia="Sen" w:hAnsi="Sennheiser Office" w:cs="Sen"/>
          <w:bCs/>
          <w:sz w:val="18"/>
          <w:szCs w:val="18"/>
        </w:rPr>
        <w:t> websites, the </w:t>
      </w:r>
      <w:hyperlink r:id="rId17" w:tgtFrame="_blank" w:history="1">
        <w:r w:rsidRPr="00426FFE">
          <w:rPr>
            <w:rStyle w:val="Lienhypertexte"/>
            <w:rFonts w:ascii="Sennheiser Office" w:eastAsia="Sen" w:hAnsi="Sennheiser Office" w:cs="Sen"/>
            <w:bCs/>
            <w:sz w:val="18"/>
            <w:szCs w:val="18"/>
          </w:rPr>
          <w:t>Dante-FAQ</w:t>
        </w:r>
      </w:hyperlink>
      <w:r w:rsidRPr="00426FFE">
        <w:rPr>
          <w:rFonts w:ascii="Sennheiser Office" w:eastAsia="Sen" w:hAnsi="Sennheiser Office" w:cs="Sen"/>
          <w:bCs/>
          <w:sz w:val="18"/>
          <w:szCs w:val="18"/>
        </w:rPr>
        <w:t xml:space="preserve"> and </w:t>
      </w:r>
      <w:proofErr w:type="spellStart"/>
      <w:r w:rsidRPr="00426FFE">
        <w:rPr>
          <w:rFonts w:ascii="Sennheiser Office" w:eastAsia="Sen" w:hAnsi="Sennheiser Office" w:cs="Sen"/>
          <w:bCs/>
          <w:sz w:val="18"/>
          <w:szCs w:val="18"/>
        </w:rPr>
        <w:t>Audinate's</w:t>
      </w:r>
      <w:proofErr w:type="spellEnd"/>
      <w:r w:rsidRPr="00426FFE">
        <w:rPr>
          <w:rFonts w:ascii="Sennheiser Office" w:eastAsia="Sen" w:hAnsi="Sennheiser Office" w:cs="Sen"/>
          <w:bCs/>
          <w:sz w:val="18"/>
          <w:szCs w:val="18"/>
        </w:rPr>
        <w:t> </w:t>
      </w:r>
      <w:hyperlink r:id="rId18" w:tgtFrame="_blank" w:history="1">
        <w:r w:rsidRPr="00426FFE">
          <w:rPr>
            <w:rStyle w:val="Lienhypertexte"/>
            <w:rFonts w:ascii="Sennheiser Office" w:eastAsia="Sen" w:hAnsi="Sennheiser Office" w:cs="Sen"/>
            <w:bCs/>
            <w:sz w:val="18"/>
            <w:szCs w:val="18"/>
          </w:rPr>
          <w:t>Dante Ready</w:t>
        </w:r>
      </w:hyperlink>
      <w:r w:rsidRPr="00426FFE">
        <w:rPr>
          <w:rFonts w:ascii="Sennheiser Office" w:eastAsia="Sen" w:hAnsi="Sennheiser Office" w:cs="Sen"/>
          <w:bCs/>
          <w:sz w:val="18"/>
          <w:szCs w:val="18"/>
        </w:rPr>
        <w:t> page.</w:t>
      </w:r>
    </w:p>
    <w:p w14:paraId="08B9118F" w14:textId="77777777" w:rsidR="00426FFE" w:rsidRPr="00426FFE" w:rsidRDefault="00426FFE" w:rsidP="00426FFE">
      <w:pPr>
        <w:rPr>
          <w:rFonts w:ascii="Sennheiser Office" w:eastAsia="Sen" w:hAnsi="Sennheiser Office" w:cs="Sen"/>
          <w:bCs/>
          <w:sz w:val="18"/>
          <w:szCs w:val="18"/>
        </w:rPr>
      </w:pPr>
    </w:p>
    <w:p w14:paraId="1ABE3140" w14:textId="77777777" w:rsidR="00426FFE" w:rsidRDefault="00426FFE" w:rsidP="00426FFE">
      <w:pPr>
        <w:rPr>
          <w:rFonts w:ascii="Sennheiser Office" w:eastAsia="Sen" w:hAnsi="Sennheiser Office" w:cs="Sen"/>
          <w:bCs/>
          <w:sz w:val="18"/>
          <w:szCs w:val="18"/>
        </w:rPr>
      </w:pPr>
      <w:r w:rsidRPr="00426FFE">
        <w:rPr>
          <w:rFonts w:ascii="Sennheiser Office" w:eastAsia="Sen" w:hAnsi="Sennheiser Office" w:cs="Sen"/>
          <w:bCs/>
          <w:sz w:val="18"/>
          <w:szCs w:val="18"/>
        </w:rPr>
        <w:t>Big thanks to Ronald Prent of </w:t>
      </w:r>
      <w:hyperlink r:id="rId19" w:tgtFrame="_blank" w:history="1">
        <w:r w:rsidRPr="00426FFE">
          <w:rPr>
            <w:rStyle w:val="Lienhypertexte"/>
            <w:rFonts w:ascii="Sennheiser Office" w:eastAsia="Sen" w:hAnsi="Sennheiser Office" w:cs="Sen"/>
            <w:bCs/>
            <w:sz w:val="18"/>
            <w:szCs w:val="18"/>
          </w:rPr>
          <w:t>Proper Prent Sound</w:t>
        </w:r>
      </w:hyperlink>
      <w:r w:rsidRPr="00426FFE">
        <w:rPr>
          <w:rFonts w:ascii="Sennheiser Office" w:eastAsia="Sen" w:hAnsi="Sennheiser Office" w:cs="Sen"/>
          <w:bCs/>
          <w:sz w:val="18"/>
          <w:szCs w:val="18"/>
        </w:rPr>
        <w:t>.</w:t>
      </w:r>
    </w:p>
    <w:p w14:paraId="345819D6" w14:textId="77777777" w:rsidR="00426FFE" w:rsidRPr="00426FFE" w:rsidRDefault="00426FFE" w:rsidP="00426FFE">
      <w:pPr>
        <w:rPr>
          <w:rFonts w:ascii="Sennheiser Office" w:eastAsia="Sen" w:hAnsi="Sennheiser Office" w:cs="Sen"/>
          <w:bCs/>
          <w:sz w:val="18"/>
          <w:szCs w:val="18"/>
        </w:rPr>
      </w:pPr>
    </w:p>
    <w:p w14:paraId="0D74333A" w14:textId="77777777" w:rsidR="00426FFE" w:rsidRPr="00426FFE" w:rsidRDefault="00426FFE" w:rsidP="00426FFE">
      <w:pPr>
        <w:rPr>
          <w:rFonts w:ascii="Sennheiser Office" w:eastAsia="Sen" w:hAnsi="Sennheiser Office" w:cs="Sen"/>
          <w:bCs/>
          <w:sz w:val="18"/>
          <w:szCs w:val="18"/>
        </w:rPr>
      </w:pPr>
      <w:r w:rsidRPr="00426FFE">
        <w:rPr>
          <w:rFonts w:ascii="Sennheiser Office" w:eastAsia="Sen" w:hAnsi="Sennheiser Office" w:cs="Sen"/>
          <w:bCs/>
          <w:sz w:val="18"/>
          <w:szCs w:val="18"/>
        </w:rPr>
        <w:t>Stay up to date and follow us on: </w:t>
      </w:r>
      <w:hyperlink r:id="rId20" w:tgtFrame="_blank" w:history="1">
        <w:r w:rsidRPr="00426FFE">
          <w:rPr>
            <w:rStyle w:val="Lienhypertexte"/>
            <w:rFonts w:ascii="Sennheiser Office" w:eastAsia="Sen" w:hAnsi="Sennheiser Office" w:cs="Sen"/>
            <w:bCs/>
            <w:sz w:val="18"/>
            <w:szCs w:val="18"/>
          </w:rPr>
          <w:t>FACEBOOK</w:t>
        </w:r>
      </w:hyperlink>
      <w:r w:rsidRPr="00426FFE">
        <w:rPr>
          <w:rFonts w:ascii="Sennheiser Office" w:eastAsia="Sen" w:hAnsi="Sennheiser Office" w:cs="Sen"/>
          <w:bCs/>
          <w:sz w:val="18"/>
          <w:szCs w:val="18"/>
        </w:rPr>
        <w:t> I </w:t>
      </w:r>
      <w:hyperlink r:id="rId21" w:tgtFrame="_blank" w:history="1">
        <w:r w:rsidRPr="00426FFE">
          <w:rPr>
            <w:rStyle w:val="Lienhypertexte"/>
            <w:rFonts w:ascii="Sennheiser Office" w:eastAsia="Sen" w:hAnsi="Sennheiser Office" w:cs="Sen"/>
            <w:bCs/>
            <w:sz w:val="18"/>
            <w:szCs w:val="18"/>
          </w:rPr>
          <w:t>INSTAGRAM</w:t>
        </w:r>
      </w:hyperlink>
      <w:r w:rsidRPr="00426FFE">
        <w:rPr>
          <w:rFonts w:ascii="Sennheiser Office" w:eastAsia="Sen" w:hAnsi="Sennheiser Office" w:cs="Sen"/>
          <w:bCs/>
          <w:sz w:val="18"/>
          <w:szCs w:val="18"/>
        </w:rPr>
        <w:t> I </w:t>
      </w:r>
      <w:hyperlink r:id="rId22" w:tgtFrame="_blank" w:history="1">
        <w:r w:rsidRPr="00426FFE">
          <w:rPr>
            <w:rStyle w:val="Lienhypertexte"/>
            <w:rFonts w:ascii="Sennheiser Office" w:eastAsia="Sen" w:hAnsi="Sennheiser Office" w:cs="Sen"/>
            <w:bCs/>
            <w:sz w:val="18"/>
            <w:szCs w:val="18"/>
          </w:rPr>
          <w:t>YOUTUBE</w:t>
        </w:r>
      </w:hyperlink>
    </w:p>
    <w:p w14:paraId="6C10A833" w14:textId="77777777" w:rsidR="00426FFE" w:rsidRDefault="00426FFE">
      <w:pPr>
        <w:rPr>
          <w:rFonts w:ascii="Sennheiser Office" w:eastAsia="Sen" w:hAnsi="Sennheiser Office" w:cs="Sen"/>
          <w:b/>
          <w:sz w:val="18"/>
          <w:szCs w:val="18"/>
        </w:rPr>
      </w:pPr>
    </w:p>
    <w:p w14:paraId="435C421A" w14:textId="77777777" w:rsidR="007C36B4" w:rsidRDefault="007C36B4" w:rsidP="007C36B4">
      <w:pPr>
        <w:rPr>
          <w:rFonts w:ascii="Sennheiser Office" w:eastAsia="Sen" w:hAnsi="Sennheiser Office" w:cs="Sen"/>
          <w:sz w:val="18"/>
          <w:szCs w:val="18"/>
        </w:rPr>
      </w:pPr>
      <w:r w:rsidRPr="007C36B4">
        <w:rPr>
          <w:rFonts w:ascii="Sennheiser Office" w:eastAsia="Sen" w:hAnsi="Sennheiser Office" w:cs="Sen"/>
          <w:b/>
          <w:bCs/>
          <w:sz w:val="18"/>
          <w:szCs w:val="18"/>
        </w:rPr>
        <w:t>About Neumann</w:t>
      </w:r>
      <w:r w:rsidRPr="007C36B4">
        <w:rPr>
          <w:rFonts w:ascii="Sennheiser Office" w:eastAsia="Sen" w:hAnsi="Sennheiser Office" w:cs="Sen"/>
          <w:sz w:val="18"/>
          <w:szCs w:val="18"/>
        </w:rPr>
        <w:br/>
      </w:r>
      <w:r w:rsidRPr="007C36B4">
        <w:rPr>
          <w:rFonts w:ascii="Arial" w:eastAsia="Sen" w:hAnsi="Arial" w:cs="Arial"/>
          <w:sz w:val="18"/>
          <w:szCs w:val="18"/>
        </w:rPr>
        <w:t>​</w:t>
      </w:r>
      <w:r w:rsidRPr="007C36B4">
        <w:rPr>
          <w:rFonts w:ascii="Sennheiser Office" w:eastAsia="Sen" w:hAnsi="Sennheiser Office" w:cs="Sen"/>
          <w:sz w:val="18"/>
          <w:szCs w:val="18"/>
        </w:rPr>
        <w:t>Georg Neumann GmbH, known as “</w:t>
      </w:r>
      <w:proofErr w:type="spellStart"/>
      <w:r w:rsidRPr="007C36B4">
        <w:rPr>
          <w:rFonts w:ascii="Sennheiser Office" w:eastAsia="Sen" w:hAnsi="Sennheiser Office" w:cs="Sen"/>
          <w:sz w:val="18"/>
          <w:szCs w:val="18"/>
        </w:rPr>
        <w:t>Neumann.Berlin</w:t>
      </w:r>
      <w:proofErr w:type="spellEnd"/>
      <w:r w:rsidRPr="007C36B4">
        <w:rPr>
          <w:rFonts w:ascii="Sennheiser Office" w:eastAsia="Sen" w:hAnsi="Sennheiser Office" w:cs="Sen"/>
          <w:sz w:val="18"/>
          <w:szCs w:val="18"/>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7C36B4">
        <w:rPr>
          <w:rFonts w:ascii="Sennheiser Office" w:eastAsia="Sen" w:hAnsi="Sennheiser Office" w:cs="Sen"/>
          <w:sz w:val="18"/>
          <w:szCs w:val="18"/>
        </w:rPr>
        <w:t>Neumann.Berlin</w:t>
      </w:r>
      <w:proofErr w:type="spellEnd"/>
      <w:r w:rsidRPr="007C36B4">
        <w:rPr>
          <w:rFonts w:ascii="Sennheiser Office" w:eastAsia="Sen" w:hAnsi="Sennheiser Office" w:cs="Sen"/>
          <w:sz w:val="18"/>
          <w:szCs w:val="18"/>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w:t>
      </w:r>
      <w:r w:rsidRPr="007C36B4">
        <w:rPr>
          <w:rFonts w:ascii="Sennheiser Office" w:eastAsia="Sen" w:hAnsi="Sennheiser Office" w:cs="Sen"/>
          <w:sz w:val="18"/>
          <w:szCs w:val="18"/>
        </w:rPr>
        <w:lastRenderedPageBreak/>
        <w:t>and is represented worldwide by the Sennheiser network of subsidiaries and long-standing trading partners. </w:t>
      </w:r>
      <w:hyperlink r:id="rId23" w:tgtFrame="_blank" w:history="1">
        <w:r w:rsidRPr="007C36B4">
          <w:rPr>
            <w:rStyle w:val="Lienhypertexte"/>
            <w:rFonts w:ascii="Sennheiser Office" w:eastAsia="Sen" w:hAnsi="Sennheiser Office" w:cs="Sen"/>
            <w:sz w:val="18"/>
            <w:szCs w:val="18"/>
          </w:rPr>
          <w:t>www.neumann.com</w:t>
        </w:r>
      </w:hyperlink>
    </w:p>
    <w:p w14:paraId="5B68808C" w14:textId="77777777" w:rsidR="007C36B4" w:rsidRPr="007C36B4" w:rsidRDefault="007C36B4" w:rsidP="007C36B4">
      <w:pPr>
        <w:rPr>
          <w:rFonts w:ascii="Sennheiser Office" w:eastAsia="Sen" w:hAnsi="Sennheiser Office" w:cs="Sen"/>
          <w:sz w:val="18"/>
          <w:szCs w:val="18"/>
        </w:rPr>
      </w:pPr>
    </w:p>
    <w:p w14:paraId="4560B8D6" w14:textId="77777777" w:rsidR="007C36B4" w:rsidRPr="007C36B4" w:rsidRDefault="007C36B4" w:rsidP="007C36B4">
      <w:pPr>
        <w:rPr>
          <w:rFonts w:ascii="Sennheiser Office" w:eastAsia="Sen" w:hAnsi="Sennheiser Office" w:cs="Sen"/>
          <w:sz w:val="18"/>
          <w:szCs w:val="18"/>
          <w:lang w:val="fr-FR"/>
        </w:rPr>
      </w:pPr>
      <w:r w:rsidRPr="007C36B4">
        <w:rPr>
          <w:rFonts w:ascii="Sennheiser Office" w:eastAsia="Sen" w:hAnsi="Sennheiser Office" w:cs="Sen"/>
          <w:b/>
          <w:bCs/>
          <w:sz w:val="18"/>
          <w:szCs w:val="18"/>
        </w:rPr>
        <w:t>About Merging Technologies</w:t>
      </w:r>
      <w:r w:rsidRPr="007C36B4">
        <w:rPr>
          <w:rFonts w:ascii="Sennheiser Office" w:eastAsia="Sen" w:hAnsi="Sennheiser Office" w:cs="Sen"/>
          <w:sz w:val="18"/>
          <w:szCs w:val="18"/>
        </w:rPr>
        <w:br/>
      </w:r>
      <w:r w:rsidRPr="007C36B4">
        <w:rPr>
          <w:rFonts w:ascii="Arial" w:eastAsia="Sen" w:hAnsi="Arial" w:cs="Arial"/>
          <w:sz w:val="18"/>
          <w:szCs w:val="18"/>
        </w:rPr>
        <w:t>​</w:t>
      </w:r>
      <w:r w:rsidRPr="007C36B4">
        <w:rPr>
          <w:rFonts w:ascii="Sennheiser Office" w:eastAsia="Sen" w:hAnsi="Sennheiser Office" w:cs="Sen"/>
          <w:sz w:val="18"/>
          <w:szCs w:val="18"/>
        </w:rPr>
        <w:t>Merging Technologies SA is a Swiss manufacturer with over 25 years of experience in developing groundbreaking, professional audio and video products for a wide range of entertainment and media industries. With a dedicated user base in the elite end of the music, film, television, mastering and performances industries, Merging is committed to developing product ranges with unrivalled quality and flexibility, whatever the application. Merging builds tools for people who want more from their systems, have an innate need to push boundaries, and believe that quality always comes first. In 2022, Merging Technologies joined the Sennheiser Group to shape the future of audio technology with even greater impact.  </w:t>
      </w:r>
      <w:hyperlink r:id="rId24" w:tgtFrame="_blank" w:history="1">
        <w:r w:rsidRPr="007C36B4">
          <w:rPr>
            <w:rStyle w:val="Lienhypertexte"/>
            <w:rFonts w:ascii="Sennheiser Office" w:eastAsia="Sen" w:hAnsi="Sennheiser Office" w:cs="Sen"/>
            <w:sz w:val="18"/>
            <w:szCs w:val="18"/>
            <w:lang w:val="fr-FR"/>
          </w:rPr>
          <w:t>www.merging.com</w:t>
        </w:r>
      </w:hyperlink>
    </w:p>
    <w:p w14:paraId="5B13B578" w14:textId="77777777" w:rsidR="007C36B4" w:rsidRPr="00426FFE" w:rsidRDefault="007C36B4">
      <w:pPr>
        <w:rPr>
          <w:rFonts w:ascii="Sennheiser Office" w:eastAsia="Sen" w:hAnsi="Sennheiser Office" w:cs="Sen"/>
          <w:b/>
          <w:sz w:val="18"/>
          <w:szCs w:val="18"/>
        </w:rPr>
      </w:pPr>
    </w:p>
    <w:p w14:paraId="50112A5E" w14:textId="77777777" w:rsidR="00AE68DE" w:rsidRDefault="00AE68DE">
      <w:pPr>
        <w:rPr>
          <w:rFonts w:ascii="Sennheiser Office" w:eastAsia="Sen" w:hAnsi="Sennheiser Office" w:cs="Sen"/>
          <w:b/>
          <w:sz w:val="18"/>
          <w:szCs w:val="18"/>
        </w:rPr>
      </w:pPr>
    </w:p>
    <w:p w14:paraId="35DEA990" w14:textId="678ABA12"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25">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26">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27">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70F3BA2F" w14:textId="77777777" w:rsidR="00892B1C" w:rsidRPr="000F3BA6" w:rsidRDefault="00892B1C">
      <w:pPr>
        <w:tabs>
          <w:tab w:val="left" w:pos="4111"/>
        </w:tabs>
        <w:rPr>
          <w:rFonts w:ascii="Sennheiser Office" w:eastAsia="Sen" w:hAnsi="Sennheiser Office" w:cs="Sen"/>
          <w:b/>
          <w:sz w:val="15"/>
          <w:szCs w:val="15"/>
        </w:rPr>
      </w:pPr>
    </w:p>
    <w:p w14:paraId="38A9BB9B" w14:textId="621C40ED"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b/>
          <w:sz w:val="15"/>
          <w:szCs w:val="15"/>
        </w:rPr>
        <w:t>Local Press Contact</w:t>
      </w:r>
    </w:p>
    <w:p w14:paraId="628F089E"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Kirsten Spruch</w:t>
      </w:r>
    </w:p>
    <w:p w14:paraId="244A710A" w14:textId="32E93E5A" w:rsidR="00515A42" w:rsidRPr="000F3BA6" w:rsidRDefault="007120EC">
      <w:pPr>
        <w:tabs>
          <w:tab w:val="left" w:pos="4111"/>
        </w:tabs>
        <w:rPr>
          <w:rFonts w:ascii="Sennheiser Office" w:eastAsia="Sen" w:hAnsi="Sennheiser Office" w:cs="Sen"/>
          <w:sz w:val="15"/>
          <w:szCs w:val="15"/>
        </w:rPr>
      </w:pPr>
      <w:hyperlink r:id="rId28" w:history="1">
        <w:r w:rsidRPr="000F3BA6">
          <w:rPr>
            <w:rStyle w:val="Lienhypertexte"/>
            <w:rFonts w:ascii="Sennheiser Office" w:eastAsia="Sen" w:hAnsi="Sennheiser Office" w:cs="Sen"/>
            <w:sz w:val="15"/>
            <w:szCs w:val="15"/>
          </w:rPr>
          <w:t>Kirsten.Spruch@sennheiser.com</w:t>
        </w:r>
      </w:hyperlink>
    </w:p>
    <w:p w14:paraId="2F117395" w14:textId="10CFA0AF" w:rsidR="007120EC" w:rsidRPr="000F3BA6" w:rsidRDefault="007120EC">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+1(959)-239-7383</w:t>
      </w:r>
    </w:p>
    <w:p w14:paraId="0202023C" w14:textId="77777777" w:rsidR="00515A42" w:rsidRPr="000F3BA6" w:rsidRDefault="00515A42">
      <w:pPr>
        <w:tabs>
          <w:tab w:val="left" w:pos="4111"/>
        </w:tabs>
        <w:rPr>
          <w:rFonts w:ascii="Sennheiser Office" w:eastAsia="Sen" w:hAnsi="Sennheiser Office" w:cs="Sen"/>
          <w:sz w:val="15"/>
          <w:szCs w:val="15"/>
        </w:rPr>
      </w:pPr>
    </w:p>
    <w:p w14:paraId="221C78E9" w14:textId="77777777" w:rsidR="00515A42" w:rsidRPr="000F3BA6" w:rsidRDefault="008E3409">
      <w:pPr>
        <w:tabs>
          <w:tab w:val="left" w:pos="4111"/>
        </w:tabs>
        <w:rPr>
          <w:rFonts w:ascii="Sennheiser Office" w:eastAsia="Sen" w:hAnsi="Sennheiser Office" w:cs="Sen"/>
          <w:color w:val="0095D5"/>
          <w:sz w:val="15"/>
          <w:szCs w:val="15"/>
        </w:rPr>
      </w:pPr>
      <w:r w:rsidRPr="000F3BA6">
        <w:rPr>
          <w:rFonts w:ascii="Sennheiser Office" w:eastAsia="Sen" w:hAnsi="Sennheiser Office" w:cs="Sen"/>
          <w:color w:val="0095D5"/>
          <w:sz w:val="15"/>
          <w:szCs w:val="15"/>
        </w:rPr>
        <w:t>Ashley Kinchen</w:t>
      </w:r>
    </w:p>
    <w:p w14:paraId="39575691" w14:textId="77777777" w:rsidR="00515A42" w:rsidRPr="000F3BA6" w:rsidRDefault="00515A42">
      <w:pPr>
        <w:tabs>
          <w:tab w:val="left" w:pos="4111"/>
        </w:tabs>
        <w:rPr>
          <w:rFonts w:ascii="Sennheiser Office" w:eastAsia="Sen" w:hAnsi="Sennheiser Office" w:cs="Sen"/>
          <w:sz w:val="15"/>
          <w:szCs w:val="15"/>
        </w:rPr>
      </w:pPr>
      <w:hyperlink r:id="rId29">
        <w:r w:rsidRPr="000F3BA6">
          <w:rPr>
            <w:rFonts w:ascii="Sennheiser Office" w:eastAsia="Sen" w:hAnsi="Sennheiser Office" w:cs="Sen"/>
            <w:color w:val="000000"/>
            <w:sz w:val="15"/>
            <w:szCs w:val="15"/>
            <w:u w:val="single"/>
          </w:rPr>
          <w:t>ashley@hummingbirdmedia.com</w:t>
        </w:r>
      </w:hyperlink>
    </w:p>
    <w:p w14:paraId="66A0D3F0" w14:textId="77777777" w:rsidR="00515A42" w:rsidRPr="000F3BA6" w:rsidRDefault="008E3409">
      <w:pPr>
        <w:tabs>
          <w:tab w:val="left" w:pos="4111"/>
        </w:tabs>
        <w:rPr>
          <w:rFonts w:ascii="Sennheiser Office" w:eastAsia="Sen" w:hAnsi="Sennheiser Office" w:cs="Sen"/>
          <w:sz w:val="15"/>
          <w:szCs w:val="15"/>
        </w:rPr>
      </w:pPr>
      <w:r w:rsidRPr="000F3BA6">
        <w:rPr>
          <w:rFonts w:ascii="Sennheiser Office" w:eastAsia="Sen" w:hAnsi="Sennheiser Office" w:cs="Sen"/>
          <w:sz w:val="15"/>
          <w:szCs w:val="15"/>
        </w:rPr>
        <w:t>+1 (504) 616-1683</w:t>
      </w: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30"/>
      <w:headerReference w:type="first" r:id="rId31"/>
      <w:footerReference w:type="first" r:id="rId32"/>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BB37B" w14:textId="77777777" w:rsidR="00263CE7" w:rsidRDefault="00263CE7">
      <w:pPr>
        <w:spacing w:line="240" w:lineRule="auto"/>
      </w:pPr>
      <w:r>
        <w:separator/>
      </w:r>
    </w:p>
  </w:endnote>
  <w:endnote w:type="continuationSeparator" w:id="0">
    <w:p w14:paraId="31F6CB2F" w14:textId="77777777" w:rsidR="00263CE7" w:rsidRDefault="00263CE7">
      <w:pPr>
        <w:spacing w:line="240" w:lineRule="auto"/>
      </w:pPr>
      <w:r>
        <w:continuationSeparator/>
      </w:r>
    </w:p>
  </w:endnote>
  <w:endnote w:type="continuationNotice" w:id="1">
    <w:p w14:paraId="46D2519B" w14:textId="77777777" w:rsidR="00263CE7" w:rsidRDefault="00263C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2B35990-5D78-43D9-A91F-AFAA6EB9B215}"/>
    <w:embedBold r:id="rId2" w:fontKey="{BD72C6EF-5969-45F6-9F93-84F33A4EE6FF}"/>
    <w:embedItalic r:id="rId3" w:fontKey="{5DA3FA74-AA24-4D70-A83E-395644343350}"/>
  </w:font>
  <w:font w:name="Calibri Light">
    <w:panose1 w:val="020F0302020204030204"/>
    <w:charset w:val="00"/>
    <w:family w:val="swiss"/>
    <w:pitch w:val="variable"/>
    <w:sig w:usb0="E4002EFF" w:usb1="C000247B" w:usb2="00000009" w:usb3="00000000" w:csb0="000001FF" w:csb1="00000000"/>
    <w:embedRegular r:id="rId4" w:fontKey="{3C3DC86B-F64E-4B69-A1A4-95273AA4FADD}"/>
    <w:embedItalic r:id="rId5" w:fontKey="{42CA3121-0061-471E-9519-4A3375DF3662}"/>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n">
    <w:altName w:val="Calibri"/>
    <w:charset w:val="00"/>
    <w:family w:val="auto"/>
    <w:pitch w:val="default"/>
    <w:embedRegular r:id="rId6" w:fontKey="{5B25E4F2-08DB-4F24-A4B1-303C10493097}"/>
    <w:embedBold r:id="rId7" w:fontKey="{C72F9EDE-A59A-4E07-8526-EE71A4860FBD}"/>
    <w:embedItalic r:id="rId8" w:fontKey="{11DC4915-6BE9-4F90-884E-EFE06F8BB6D5}"/>
    <w:embedBoldItalic r:id="rId9" w:fontKey="{40F0AC18-4F91-42D5-935E-A764BC2E5CD6}"/>
  </w:font>
  <w:font w:name="Sennheiser Office">
    <w:panose1 w:val="020B0504020101010102"/>
    <w:charset w:val="00"/>
    <w:family w:val="swiss"/>
    <w:pitch w:val="variable"/>
    <w:sig w:usb0="A00000AF" w:usb1="500020DB" w:usb2="00000000" w:usb3="00000000" w:csb0="00000093" w:csb1="00000000"/>
    <w:embedRegular r:id="rId10" w:fontKey="{A97A08E3-BE38-467E-98FB-2F5043B5FAB1}"/>
    <w:embedBold r:id="rId11" w:fontKey="{6906C7C3-B4B2-4B1F-95D5-0856963C8242}"/>
    <w:embedItalic r:id="rId12" w:fontKey="{FCAE4D73-425C-4619-B0E6-AB4887789A28}"/>
    <w:embedBoldItalic r:id="rId13" w:fontKey="{C18BE12A-CAB8-4EBC-B324-6F3232EA23AD}"/>
  </w:font>
  <w:font w:name="Quattrocento Sans">
    <w:charset w:val="00"/>
    <w:family w:val="swiss"/>
    <w:pitch w:val="variable"/>
    <w:sig w:usb0="800000BF" w:usb1="4000005B" w:usb2="00000000" w:usb3="00000000" w:csb0="00000001" w:csb1="00000000"/>
    <w:embedRegular r:id="rId14" w:fontKey="{84596C26-F53C-45B5-B50C-96462FD6A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649C6" w14:textId="77777777" w:rsidR="00263CE7" w:rsidRDefault="00263CE7">
      <w:pPr>
        <w:spacing w:line="240" w:lineRule="auto"/>
      </w:pPr>
      <w:r>
        <w:separator/>
      </w:r>
    </w:p>
  </w:footnote>
  <w:footnote w:type="continuationSeparator" w:id="0">
    <w:p w14:paraId="4358153B" w14:textId="77777777" w:rsidR="00263CE7" w:rsidRDefault="00263CE7">
      <w:pPr>
        <w:spacing w:line="240" w:lineRule="auto"/>
      </w:pPr>
      <w:r>
        <w:continuationSeparator/>
      </w:r>
    </w:p>
  </w:footnote>
  <w:footnote w:type="continuationNotice" w:id="1">
    <w:p w14:paraId="3AF10FBC" w14:textId="77777777" w:rsidR="00263CE7" w:rsidRDefault="00263C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B66E5"/>
    <w:rsid w:val="000C6B07"/>
    <w:rsid w:val="000D5365"/>
    <w:rsid w:val="000F2CA2"/>
    <w:rsid w:val="000F3BA6"/>
    <w:rsid w:val="0011372E"/>
    <w:rsid w:val="001161C9"/>
    <w:rsid w:val="00126758"/>
    <w:rsid w:val="001615D3"/>
    <w:rsid w:val="0016421E"/>
    <w:rsid w:val="001642A0"/>
    <w:rsid w:val="00166AFA"/>
    <w:rsid w:val="00181976"/>
    <w:rsid w:val="00185AAE"/>
    <w:rsid w:val="001913F7"/>
    <w:rsid w:val="001C1EC4"/>
    <w:rsid w:val="001D2F73"/>
    <w:rsid w:val="001D70D1"/>
    <w:rsid w:val="001E0861"/>
    <w:rsid w:val="001E65E8"/>
    <w:rsid w:val="00223C34"/>
    <w:rsid w:val="00255C7A"/>
    <w:rsid w:val="00263CE7"/>
    <w:rsid w:val="002658D7"/>
    <w:rsid w:val="00270C30"/>
    <w:rsid w:val="002711AF"/>
    <w:rsid w:val="00293E14"/>
    <w:rsid w:val="002E3E88"/>
    <w:rsid w:val="002F384A"/>
    <w:rsid w:val="00317470"/>
    <w:rsid w:val="00330546"/>
    <w:rsid w:val="00342421"/>
    <w:rsid w:val="003968A4"/>
    <w:rsid w:val="003D6C9D"/>
    <w:rsid w:val="003D75FB"/>
    <w:rsid w:val="003F02F7"/>
    <w:rsid w:val="003F508F"/>
    <w:rsid w:val="00416999"/>
    <w:rsid w:val="00422DBF"/>
    <w:rsid w:val="00426134"/>
    <w:rsid w:val="00426FFE"/>
    <w:rsid w:val="00436DA2"/>
    <w:rsid w:val="0044403E"/>
    <w:rsid w:val="00445CED"/>
    <w:rsid w:val="00464898"/>
    <w:rsid w:val="00465EF5"/>
    <w:rsid w:val="0047000B"/>
    <w:rsid w:val="00475B2A"/>
    <w:rsid w:val="0048777E"/>
    <w:rsid w:val="0049307D"/>
    <w:rsid w:val="004A0F19"/>
    <w:rsid w:val="004A6FB3"/>
    <w:rsid w:val="004D4B61"/>
    <w:rsid w:val="004F0FA7"/>
    <w:rsid w:val="004F1C01"/>
    <w:rsid w:val="00503906"/>
    <w:rsid w:val="005053F0"/>
    <w:rsid w:val="005058D5"/>
    <w:rsid w:val="005070B7"/>
    <w:rsid w:val="00511A27"/>
    <w:rsid w:val="00515A42"/>
    <w:rsid w:val="0053055C"/>
    <w:rsid w:val="00536881"/>
    <w:rsid w:val="005416F8"/>
    <w:rsid w:val="00557E3E"/>
    <w:rsid w:val="0056466F"/>
    <w:rsid w:val="0059263D"/>
    <w:rsid w:val="00596C95"/>
    <w:rsid w:val="005A5584"/>
    <w:rsid w:val="005D6E11"/>
    <w:rsid w:val="005D7DD6"/>
    <w:rsid w:val="00605291"/>
    <w:rsid w:val="0061179D"/>
    <w:rsid w:val="006225DE"/>
    <w:rsid w:val="00681C1B"/>
    <w:rsid w:val="00685EA2"/>
    <w:rsid w:val="0069288F"/>
    <w:rsid w:val="00693FB7"/>
    <w:rsid w:val="006C20DC"/>
    <w:rsid w:val="006F2D9E"/>
    <w:rsid w:val="00700315"/>
    <w:rsid w:val="007014EF"/>
    <w:rsid w:val="00706E29"/>
    <w:rsid w:val="007120EC"/>
    <w:rsid w:val="00716C1E"/>
    <w:rsid w:val="00756BC5"/>
    <w:rsid w:val="007727FF"/>
    <w:rsid w:val="00796292"/>
    <w:rsid w:val="007A4161"/>
    <w:rsid w:val="007A77B3"/>
    <w:rsid w:val="007B272F"/>
    <w:rsid w:val="007B29B1"/>
    <w:rsid w:val="007C36B4"/>
    <w:rsid w:val="007E3A13"/>
    <w:rsid w:val="007F5ADF"/>
    <w:rsid w:val="00800B5B"/>
    <w:rsid w:val="00804D28"/>
    <w:rsid w:val="0085274F"/>
    <w:rsid w:val="00860754"/>
    <w:rsid w:val="00877635"/>
    <w:rsid w:val="00885452"/>
    <w:rsid w:val="00892B1C"/>
    <w:rsid w:val="008B3330"/>
    <w:rsid w:val="008C08BE"/>
    <w:rsid w:val="008C266A"/>
    <w:rsid w:val="008C479E"/>
    <w:rsid w:val="008E3409"/>
    <w:rsid w:val="009111AB"/>
    <w:rsid w:val="00925EC9"/>
    <w:rsid w:val="009A5BA4"/>
    <w:rsid w:val="009B66CA"/>
    <w:rsid w:val="009E7A47"/>
    <w:rsid w:val="009F7EEB"/>
    <w:rsid w:val="00A263E7"/>
    <w:rsid w:val="00A360E8"/>
    <w:rsid w:val="00A443A6"/>
    <w:rsid w:val="00A677F0"/>
    <w:rsid w:val="00A7316A"/>
    <w:rsid w:val="00A74CD8"/>
    <w:rsid w:val="00A8526A"/>
    <w:rsid w:val="00AB6555"/>
    <w:rsid w:val="00AB7B63"/>
    <w:rsid w:val="00AC4849"/>
    <w:rsid w:val="00AC7BA6"/>
    <w:rsid w:val="00AE68DE"/>
    <w:rsid w:val="00AE68E9"/>
    <w:rsid w:val="00B061BB"/>
    <w:rsid w:val="00B139F9"/>
    <w:rsid w:val="00B2629D"/>
    <w:rsid w:val="00B36908"/>
    <w:rsid w:val="00B8081E"/>
    <w:rsid w:val="00BD128C"/>
    <w:rsid w:val="00BD62E9"/>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F4154"/>
    <w:rsid w:val="00D0743D"/>
    <w:rsid w:val="00D211CB"/>
    <w:rsid w:val="00D330B6"/>
    <w:rsid w:val="00D4765D"/>
    <w:rsid w:val="00D60007"/>
    <w:rsid w:val="00D67FAC"/>
    <w:rsid w:val="00D75262"/>
    <w:rsid w:val="00D95B27"/>
    <w:rsid w:val="00DA1A1C"/>
    <w:rsid w:val="00DB35D4"/>
    <w:rsid w:val="00DD1680"/>
    <w:rsid w:val="00DD4272"/>
    <w:rsid w:val="00DF0010"/>
    <w:rsid w:val="00DF14E2"/>
    <w:rsid w:val="00E00534"/>
    <w:rsid w:val="00E05142"/>
    <w:rsid w:val="00E06651"/>
    <w:rsid w:val="00E17A03"/>
    <w:rsid w:val="00E56895"/>
    <w:rsid w:val="00E91EFE"/>
    <w:rsid w:val="00EA7FBD"/>
    <w:rsid w:val="00EB6A4A"/>
    <w:rsid w:val="00EC35BC"/>
    <w:rsid w:val="00ED62AC"/>
    <w:rsid w:val="00EF2A8D"/>
    <w:rsid w:val="00EF604F"/>
    <w:rsid w:val="00F343D2"/>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Titre1">
    <w:name w:val="heading 1"/>
    <w:basedOn w:val="Normal"/>
    <w:next w:val="Normal"/>
    <w:link w:val="Titre1C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Titre4">
    <w:name w:val="heading 4"/>
    <w:basedOn w:val="Normal"/>
    <w:next w:val="Normal"/>
    <w:link w:val="Titre4C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Titre7">
    <w:name w:val="heading 7"/>
    <w:basedOn w:val="Normal"/>
    <w:next w:val="Normal"/>
    <w:link w:val="Titre7C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46DB16AA"/>
    <w:pPr>
      <w:contextualSpacing/>
    </w:pPr>
    <w:rPr>
      <w:rFonts w:asciiTheme="majorHAnsi" w:eastAsiaTheme="majorEastAsia" w:hAnsiTheme="majorHAnsi" w:cstheme="majorBidi"/>
      <w:sz w:val="56"/>
      <w:szCs w:val="56"/>
    </w:rPr>
  </w:style>
  <w:style w:type="paragraph" w:styleId="En-tte">
    <w:name w:val="header"/>
    <w:basedOn w:val="Normal"/>
    <w:link w:val="En-tteCar"/>
    <w:uiPriority w:val="99"/>
    <w:unhideWhenUsed/>
    <w:rsid w:val="46DB16AA"/>
    <w:pPr>
      <w:tabs>
        <w:tab w:val="center" w:pos="4680"/>
        <w:tab w:val="right" w:pos="9360"/>
      </w:tabs>
    </w:pPr>
  </w:style>
  <w:style w:type="character" w:customStyle="1" w:styleId="En-tteCar">
    <w:name w:val="En-tête Car"/>
    <w:basedOn w:val="Policepardfaut"/>
    <w:link w:val="En-tte"/>
    <w:uiPriority w:val="99"/>
    <w:rsid w:val="46DB16AA"/>
    <w:rPr>
      <w:rFonts w:ascii="Calibri" w:eastAsiaTheme="minorEastAsia" w:hAnsi="Calibri" w:cs="Calibri"/>
      <w:noProof w:val="0"/>
      <w:lang w:val="en-US"/>
    </w:rPr>
  </w:style>
  <w:style w:type="paragraph" w:styleId="Pieddepage">
    <w:name w:val="footer"/>
    <w:basedOn w:val="Normal"/>
    <w:link w:val="PieddepageCar"/>
    <w:uiPriority w:val="99"/>
    <w:unhideWhenUsed/>
    <w:rsid w:val="46DB16AA"/>
    <w:pPr>
      <w:tabs>
        <w:tab w:val="center" w:pos="4680"/>
        <w:tab w:val="right" w:pos="9360"/>
      </w:tabs>
    </w:pPr>
  </w:style>
  <w:style w:type="character" w:customStyle="1" w:styleId="PieddepageCar">
    <w:name w:val="Pied de page Car"/>
    <w:basedOn w:val="Policepardfaut"/>
    <w:link w:val="Pieddepage"/>
    <w:uiPriority w:val="99"/>
    <w:rsid w:val="46DB16AA"/>
    <w:rPr>
      <w:rFonts w:ascii="Calibri" w:eastAsiaTheme="minorEastAsia" w:hAnsi="Calibri" w:cs="Calibri"/>
      <w:noProof w:val="0"/>
      <w:lang w:val="en-US"/>
    </w:rPr>
  </w:style>
  <w:style w:type="table" w:customStyle="1" w:styleId="TableGrid1">
    <w:name w:val="Table Grid1"/>
    <w:basedOn w:val="TableauNormal"/>
    <w:next w:val="Grilledutableau"/>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46DB16AA"/>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C526DD"/>
    <w:rPr>
      <w:sz w:val="16"/>
      <w:szCs w:val="16"/>
    </w:rPr>
  </w:style>
  <w:style w:type="paragraph" w:styleId="Commentaire">
    <w:name w:val="annotation text"/>
    <w:basedOn w:val="Normal"/>
    <w:link w:val="CommentaireCar"/>
    <w:uiPriority w:val="99"/>
    <w:unhideWhenUsed/>
    <w:rsid w:val="46DB16AA"/>
    <w:rPr>
      <w:sz w:val="20"/>
      <w:szCs w:val="20"/>
    </w:rPr>
  </w:style>
  <w:style w:type="character" w:customStyle="1" w:styleId="CommentaireCar">
    <w:name w:val="Commentaire Car"/>
    <w:basedOn w:val="Policepardfaut"/>
    <w:link w:val="Commentaire"/>
    <w:uiPriority w:val="99"/>
    <w:rsid w:val="46DB16AA"/>
    <w:rPr>
      <w:rFonts w:ascii="Calibri" w:eastAsiaTheme="minorEastAsia" w:hAnsi="Calibri" w:cs="Calibri"/>
      <w:noProof w:val="0"/>
      <w:sz w:val="20"/>
      <w:szCs w:val="20"/>
      <w:lang w:val="en-US"/>
    </w:rPr>
  </w:style>
  <w:style w:type="paragraph" w:styleId="Objetducommentaire">
    <w:name w:val="annotation subject"/>
    <w:basedOn w:val="Commentaire"/>
    <w:next w:val="Commentaire"/>
    <w:link w:val="ObjetducommentaireCar"/>
    <w:uiPriority w:val="99"/>
    <w:semiHidden/>
    <w:unhideWhenUsed/>
    <w:rsid w:val="46DB16AA"/>
    <w:rPr>
      <w:b/>
      <w:bCs/>
    </w:rPr>
  </w:style>
  <w:style w:type="character" w:customStyle="1" w:styleId="ObjetducommentaireCar">
    <w:name w:val="Objet du commentaire Car"/>
    <w:basedOn w:val="CommentaireCar"/>
    <w:link w:val="Objetducommentaire"/>
    <w:uiPriority w:val="99"/>
    <w:semiHidden/>
    <w:rsid w:val="46DB16AA"/>
    <w:rPr>
      <w:rFonts w:ascii="Calibri" w:eastAsiaTheme="minorEastAsia" w:hAnsi="Calibri" w:cs="Calibri"/>
      <w:b/>
      <w:bCs/>
      <w:noProof w:val="0"/>
      <w:sz w:val="20"/>
      <w:szCs w:val="20"/>
      <w:lang w:val="en-US"/>
    </w:rPr>
  </w:style>
  <w:style w:type="paragraph" w:styleId="Sous-titre">
    <w:name w:val="Subtitle"/>
    <w:basedOn w:val="Normal"/>
    <w:next w:val="Normal"/>
    <w:link w:val="Sous-titreCar"/>
    <w:uiPriority w:val="11"/>
    <w:qFormat/>
    <w:rPr>
      <w:color w:val="5A5A5A"/>
    </w:rPr>
  </w:style>
  <w:style w:type="paragraph" w:styleId="Citation">
    <w:name w:val="Quote"/>
    <w:basedOn w:val="Normal"/>
    <w:next w:val="Normal"/>
    <w:link w:val="CitationCar"/>
    <w:uiPriority w:val="29"/>
    <w:qFormat/>
    <w:rsid w:val="46DB16AA"/>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46DB16AA"/>
    <w:pPr>
      <w:spacing w:before="360" w:after="360"/>
      <w:ind w:left="864" w:right="864"/>
      <w:jc w:val="center"/>
    </w:pPr>
    <w:rPr>
      <w:i/>
      <w:iCs/>
      <w:color w:val="4472C4" w:themeColor="accent1"/>
    </w:rPr>
  </w:style>
  <w:style w:type="paragraph" w:styleId="Paragraphedeliste">
    <w:name w:val="List Paragraph"/>
    <w:basedOn w:val="Normal"/>
    <w:uiPriority w:val="34"/>
    <w:qFormat/>
    <w:rsid w:val="46DB16AA"/>
    <w:pPr>
      <w:ind w:left="720"/>
      <w:contextualSpacing/>
    </w:pPr>
  </w:style>
  <w:style w:type="character" w:customStyle="1" w:styleId="Titre1Car">
    <w:name w:val="Titre 1 Car"/>
    <w:basedOn w:val="Policepardfaut"/>
    <w:link w:val="Titre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Titre2Car">
    <w:name w:val="Titre 2 Car"/>
    <w:basedOn w:val="Policepardfaut"/>
    <w:link w:val="Titre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Titre3Car">
    <w:name w:val="Titre 3 Car"/>
    <w:basedOn w:val="Policepardfaut"/>
    <w:link w:val="Titre3"/>
    <w:uiPriority w:val="9"/>
    <w:rsid w:val="46DB16AA"/>
    <w:rPr>
      <w:rFonts w:asciiTheme="majorHAnsi" w:eastAsiaTheme="majorEastAsia" w:hAnsiTheme="majorHAnsi" w:cstheme="majorBidi"/>
      <w:noProof w:val="0"/>
      <w:color w:val="1F3763"/>
      <w:sz w:val="24"/>
      <w:szCs w:val="24"/>
      <w:lang w:val="en-US"/>
    </w:rPr>
  </w:style>
  <w:style w:type="character" w:customStyle="1" w:styleId="Titre4Car">
    <w:name w:val="Titre 4 Car"/>
    <w:basedOn w:val="Policepardfaut"/>
    <w:link w:val="Titre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Titre5Car">
    <w:name w:val="Titre 5 Car"/>
    <w:basedOn w:val="Policepardfaut"/>
    <w:link w:val="Titre5"/>
    <w:uiPriority w:val="9"/>
    <w:rsid w:val="46DB16AA"/>
    <w:rPr>
      <w:rFonts w:asciiTheme="majorHAnsi" w:eastAsiaTheme="majorEastAsia" w:hAnsiTheme="majorHAnsi" w:cstheme="majorBidi"/>
      <w:noProof w:val="0"/>
      <w:color w:val="2F5496" w:themeColor="accent1" w:themeShade="BF"/>
      <w:lang w:val="en-US"/>
    </w:rPr>
  </w:style>
  <w:style w:type="character" w:customStyle="1" w:styleId="Titre6Car">
    <w:name w:val="Titre 6 Car"/>
    <w:basedOn w:val="Policepardfaut"/>
    <w:link w:val="Titre6"/>
    <w:uiPriority w:val="9"/>
    <w:rsid w:val="46DB16AA"/>
    <w:rPr>
      <w:rFonts w:asciiTheme="majorHAnsi" w:eastAsiaTheme="majorEastAsia" w:hAnsiTheme="majorHAnsi" w:cstheme="majorBidi"/>
      <w:noProof w:val="0"/>
      <w:color w:val="1F3763"/>
      <w:lang w:val="en-US"/>
    </w:rPr>
  </w:style>
  <w:style w:type="character" w:customStyle="1" w:styleId="Titre7Car">
    <w:name w:val="Titre 7 Car"/>
    <w:basedOn w:val="Policepardfaut"/>
    <w:link w:val="Titre7"/>
    <w:uiPriority w:val="9"/>
    <w:rsid w:val="46DB16AA"/>
    <w:rPr>
      <w:rFonts w:asciiTheme="majorHAnsi" w:eastAsiaTheme="majorEastAsia" w:hAnsiTheme="majorHAnsi" w:cstheme="majorBidi"/>
      <w:i/>
      <w:iCs/>
      <w:noProof w:val="0"/>
      <w:color w:val="1F3763"/>
      <w:lang w:val="en-US"/>
    </w:rPr>
  </w:style>
  <w:style w:type="character" w:customStyle="1" w:styleId="Titre8Car">
    <w:name w:val="Titre 8 Car"/>
    <w:basedOn w:val="Policepardfaut"/>
    <w:link w:val="Titre8"/>
    <w:uiPriority w:val="9"/>
    <w:rsid w:val="46DB16AA"/>
    <w:rPr>
      <w:rFonts w:asciiTheme="majorHAnsi" w:eastAsiaTheme="majorEastAsia" w:hAnsiTheme="majorHAnsi" w:cstheme="majorBidi"/>
      <w:noProof w:val="0"/>
      <w:color w:val="272727"/>
      <w:sz w:val="21"/>
      <w:szCs w:val="21"/>
      <w:lang w:val="en-US"/>
    </w:rPr>
  </w:style>
  <w:style w:type="character" w:customStyle="1" w:styleId="Titre9Car">
    <w:name w:val="Titre 9 Car"/>
    <w:basedOn w:val="Policepardfaut"/>
    <w:link w:val="Titre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reCar">
    <w:name w:val="Titre Car"/>
    <w:basedOn w:val="Policepardfaut"/>
    <w:link w:val="Titre"/>
    <w:uiPriority w:val="10"/>
    <w:rsid w:val="46DB16AA"/>
    <w:rPr>
      <w:rFonts w:asciiTheme="majorHAnsi" w:eastAsiaTheme="majorEastAsia" w:hAnsiTheme="majorHAnsi" w:cstheme="majorBidi"/>
      <w:noProof w:val="0"/>
      <w:sz w:val="56"/>
      <w:szCs w:val="56"/>
      <w:lang w:val="en-US"/>
    </w:rPr>
  </w:style>
  <w:style w:type="character" w:customStyle="1" w:styleId="Sous-titreCar">
    <w:name w:val="Sous-titre Car"/>
    <w:basedOn w:val="Policepardfaut"/>
    <w:link w:val="Sous-titre"/>
    <w:uiPriority w:val="11"/>
    <w:rsid w:val="46DB16AA"/>
    <w:rPr>
      <w:rFonts w:asciiTheme="minorHAnsi" w:eastAsiaTheme="minorEastAsia" w:hAnsiTheme="minorHAnsi" w:cstheme="minorBidi"/>
      <w:noProof w:val="0"/>
      <w:color w:val="5A5A5A"/>
      <w:lang w:val="en-US"/>
    </w:rPr>
  </w:style>
  <w:style w:type="character" w:customStyle="1" w:styleId="CitationCar">
    <w:name w:val="Citation Car"/>
    <w:basedOn w:val="Policepardfaut"/>
    <w:link w:val="Citation"/>
    <w:uiPriority w:val="29"/>
    <w:rsid w:val="46DB16AA"/>
    <w:rPr>
      <w:i/>
      <w:iCs/>
      <w:noProof w:val="0"/>
      <w:color w:val="404040" w:themeColor="text1" w:themeTint="BF"/>
      <w:lang w:val="en-US"/>
    </w:rPr>
  </w:style>
  <w:style w:type="character" w:customStyle="1" w:styleId="CitationintenseCar">
    <w:name w:val="Citation intense Car"/>
    <w:basedOn w:val="Policepardfaut"/>
    <w:link w:val="Citationintense"/>
    <w:uiPriority w:val="30"/>
    <w:rsid w:val="46DB16AA"/>
    <w:rPr>
      <w:i/>
      <w:iCs/>
      <w:noProof w:val="0"/>
      <w:color w:val="4472C4" w:themeColor="accent1"/>
      <w:lang w:val="en-US"/>
    </w:rPr>
  </w:style>
  <w:style w:type="paragraph" w:styleId="TM1">
    <w:name w:val="toc 1"/>
    <w:basedOn w:val="Normal"/>
    <w:next w:val="Normal"/>
    <w:uiPriority w:val="39"/>
    <w:unhideWhenUsed/>
    <w:rsid w:val="46DB16AA"/>
    <w:pPr>
      <w:spacing w:after="100"/>
    </w:pPr>
  </w:style>
  <w:style w:type="paragraph" w:styleId="TM2">
    <w:name w:val="toc 2"/>
    <w:basedOn w:val="Normal"/>
    <w:next w:val="Normal"/>
    <w:uiPriority w:val="39"/>
    <w:unhideWhenUsed/>
    <w:rsid w:val="46DB16AA"/>
    <w:pPr>
      <w:spacing w:after="100"/>
      <w:ind w:left="220"/>
    </w:pPr>
  </w:style>
  <w:style w:type="paragraph" w:styleId="TM3">
    <w:name w:val="toc 3"/>
    <w:basedOn w:val="Normal"/>
    <w:next w:val="Normal"/>
    <w:uiPriority w:val="39"/>
    <w:unhideWhenUsed/>
    <w:rsid w:val="46DB16AA"/>
    <w:pPr>
      <w:spacing w:after="100"/>
      <w:ind w:left="440"/>
    </w:pPr>
  </w:style>
  <w:style w:type="paragraph" w:styleId="TM4">
    <w:name w:val="toc 4"/>
    <w:basedOn w:val="Normal"/>
    <w:next w:val="Normal"/>
    <w:uiPriority w:val="39"/>
    <w:unhideWhenUsed/>
    <w:rsid w:val="46DB16AA"/>
    <w:pPr>
      <w:spacing w:after="100"/>
      <w:ind w:left="660"/>
    </w:pPr>
  </w:style>
  <w:style w:type="paragraph" w:styleId="TM5">
    <w:name w:val="toc 5"/>
    <w:basedOn w:val="Normal"/>
    <w:next w:val="Normal"/>
    <w:uiPriority w:val="39"/>
    <w:unhideWhenUsed/>
    <w:rsid w:val="46DB16AA"/>
    <w:pPr>
      <w:spacing w:after="100"/>
      <w:ind w:left="880"/>
    </w:pPr>
  </w:style>
  <w:style w:type="paragraph" w:styleId="TM6">
    <w:name w:val="toc 6"/>
    <w:basedOn w:val="Normal"/>
    <w:next w:val="Normal"/>
    <w:uiPriority w:val="39"/>
    <w:unhideWhenUsed/>
    <w:rsid w:val="46DB16AA"/>
    <w:pPr>
      <w:spacing w:after="100"/>
      <w:ind w:left="1100"/>
    </w:pPr>
  </w:style>
  <w:style w:type="paragraph" w:styleId="TM7">
    <w:name w:val="toc 7"/>
    <w:basedOn w:val="Normal"/>
    <w:next w:val="Normal"/>
    <w:uiPriority w:val="39"/>
    <w:unhideWhenUsed/>
    <w:rsid w:val="46DB16AA"/>
    <w:pPr>
      <w:spacing w:after="100"/>
      <w:ind w:left="1320"/>
    </w:pPr>
  </w:style>
  <w:style w:type="paragraph" w:styleId="TM8">
    <w:name w:val="toc 8"/>
    <w:basedOn w:val="Normal"/>
    <w:next w:val="Normal"/>
    <w:uiPriority w:val="39"/>
    <w:unhideWhenUsed/>
    <w:rsid w:val="46DB16AA"/>
    <w:pPr>
      <w:spacing w:after="100"/>
      <w:ind w:left="1540"/>
    </w:pPr>
  </w:style>
  <w:style w:type="paragraph" w:styleId="TM9">
    <w:name w:val="toc 9"/>
    <w:basedOn w:val="Normal"/>
    <w:next w:val="Normal"/>
    <w:uiPriority w:val="39"/>
    <w:unhideWhenUsed/>
    <w:rsid w:val="46DB16AA"/>
    <w:pPr>
      <w:spacing w:after="100"/>
      <w:ind w:left="1760"/>
    </w:pPr>
  </w:style>
  <w:style w:type="paragraph" w:styleId="Notedefin">
    <w:name w:val="endnote text"/>
    <w:basedOn w:val="Normal"/>
    <w:link w:val="NotedefinCar"/>
    <w:uiPriority w:val="99"/>
    <w:semiHidden/>
    <w:unhideWhenUsed/>
    <w:rsid w:val="46DB16AA"/>
    <w:rPr>
      <w:sz w:val="20"/>
      <w:szCs w:val="20"/>
    </w:rPr>
  </w:style>
  <w:style w:type="character" w:customStyle="1" w:styleId="NotedefinCar">
    <w:name w:val="Note de fin Car"/>
    <w:basedOn w:val="Policepardfaut"/>
    <w:link w:val="Notedefin"/>
    <w:uiPriority w:val="99"/>
    <w:semiHidden/>
    <w:rsid w:val="46DB16AA"/>
    <w:rPr>
      <w:noProof w:val="0"/>
      <w:sz w:val="20"/>
      <w:szCs w:val="20"/>
      <w:lang w:val="en-US"/>
    </w:rPr>
  </w:style>
  <w:style w:type="paragraph" w:styleId="Notedebasdepage">
    <w:name w:val="footnote text"/>
    <w:basedOn w:val="Normal"/>
    <w:link w:val="NotedebasdepageCar"/>
    <w:uiPriority w:val="99"/>
    <w:semiHidden/>
    <w:unhideWhenUsed/>
    <w:rsid w:val="46DB16AA"/>
    <w:rPr>
      <w:sz w:val="20"/>
      <w:szCs w:val="20"/>
    </w:rPr>
  </w:style>
  <w:style w:type="character" w:customStyle="1" w:styleId="NotedebasdepageCar">
    <w:name w:val="Note de bas de page Car"/>
    <w:basedOn w:val="Policepardfaut"/>
    <w:link w:val="Notedebasdepage"/>
    <w:uiPriority w:val="99"/>
    <w:semiHidden/>
    <w:rsid w:val="46DB16AA"/>
    <w:rPr>
      <w:noProof w:val="0"/>
      <w:sz w:val="20"/>
      <w:szCs w:val="20"/>
      <w:lang w:val="en-US"/>
    </w:rPr>
  </w:style>
  <w:style w:type="character" w:styleId="lev">
    <w:name w:val="Strong"/>
    <w:basedOn w:val="Policepardfaut"/>
    <w:uiPriority w:val="22"/>
    <w:qFormat/>
    <w:rsid w:val="005E69C7"/>
    <w:rPr>
      <w:b/>
      <w:bCs/>
    </w:rPr>
  </w:style>
  <w:style w:type="paragraph" w:styleId="Rvision">
    <w:name w:val="Revision"/>
    <w:hidden/>
    <w:uiPriority w:val="99"/>
    <w:semiHidden/>
    <w:rsid w:val="006764EC"/>
    <w:pPr>
      <w:spacing w:line="240" w:lineRule="auto"/>
    </w:pPr>
  </w:style>
  <w:style w:type="character" w:styleId="Lienhypertexte">
    <w:name w:val="Hyperlink"/>
    <w:basedOn w:val="Policepardfaut"/>
    <w:uiPriority w:val="99"/>
    <w:unhideWhenUsed/>
    <w:rsid w:val="00DB397C"/>
    <w:rPr>
      <w:color w:val="0563C1" w:themeColor="hyperlink"/>
      <w:u w:val="single"/>
    </w:rPr>
  </w:style>
  <w:style w:type="character" w:styleId="Mentionnonrsolue">
    <w:name w:val="Unresolved Mention"/>
    <w:basedOn w:val="Policepardfau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16807386">
      <w:bodyDiv w:val="1"/>
      <w:marLeft w:val="0"/>
      <w:marRight w:val="0"/>
      <w:marTop w:val="0"/>
      <w:marBottom w:val="0"/>
      <w:divBdr>
        <w:top w:val="none" w:sz="0" w:space="0" w:color="auto"/>
        <w:left w:val="none" w:sz="0" w:space="0" w:color="auto"/>
        <w:bottom w:val="none" w:sz="0" w:space="0" w:color="auto"/>
        <w:right w:val="none" w:sz="0" w:space="0" w:color="auto"/>
      </w:divBdr>
    </w:div>
    <w:div w:id="571043245">
      <w:bodyDiv w:val="1"/>
      <w:marLeft w:val="0"/>
      <w:marRight w:val="0"/>
      <w:marTop w:val="0"/>
      <w:marBottom w:val="0"/>
      <w:divBdr>
        <w:top w:val="none" w:sz="0" w:space="0" w:color="auto"/>
        <w:left w:val="none" w:sz="0" w:space="0" w:color="auto"/>
        <w:bottom w:val="none" w:sz="0" w:space="0" w:color="auto"/>
        <w:right w:val="none" w:sz="0" w:space="0" w:color="auto"/>
      </w:divBdr>
    </w:div>
    <w:div w:id="827745564">
      <w:bodyDiv w:val="1"/>
      <w:marLeft w:val="0"/>
      <w:marRight w:val="0"/>
      <w:marTop w:val="0"/>
      <w:marBottom w:val="0"/>
      <w:divBdr>
        <w:top w:val="none" w:sz="0" w:space="0" w:color="auto"/>
        <w:left w:val="none" w:sz="0" w:space="0" w:color="auto"/>
        <w:bottom w:val="none" w:sz="0" w:space="0" w:color="auto"/>
        <w:right w:val="none" w:sz="0" w:space="0" w:color="auto"/>
      </w:divBdr>
    </w:div>
    <w:div w:id="888569468">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76442708">
      <w:bodyDiv w:val="1"/>
      <w:marLeft w:val="0"/>
      <w:marRight w:val="0"/>
      <w:marTop w:val="0"/>
      <w:marBottom w:val="0"/>
      <w:divBdr>
        <w:top w:val="none" w:sz="0" w:space="0" w:color="auto"/>
        <w:left w:val="none" w:sz="0" w:space="0" w:color="auto"/>
        <w:bottom w:val="none" w:sz="0" w:space="0" w:color="auto"/>
        <w:right w:val="none" w:sz="0" w:space="0" w:color="auto"/>
      </w:divBdr>
    </w:div>
    <w:div w:id="1469586798">
      <w:bodyDiv w:val="1"/>
      <w:marLeft w:val="0"/>
      <w:marRight w:val="0"/>
      <w:marTop w:val="0"/>
      <w:marBottom w:val="0"/>
      <w:divBdr>
        <w:top w:val="none" w:sz="0" w:space="0" w:color="auto"/>
        <w:left w:val="none" w:sz="0" w:space="0" w:color="auto"/>
        <w:bottom w:val="none" w:sz="0" w:space="0" w:color="auto"/>
        <w:right w:val="none" w:sz="0" w:space="0" w:color="auto"/>
      </w:divBdr>
    </w:div>
    <w:div w:id="1506480375">
      <w:bodyDiv w:val="1"/>
      <w:marLeft w:val="0"/>
      <w:marRight w:val="0"/>
      <w:marTop w:val="0"/>
      <w:marBottom w:val="0"/>
      <w:divBdr>
        <w:top w:val="none" w:sz="0" w:space="0" w:color="auto"/>
        <w:left w:val="none" w:sz="0" w:space="0" w:color="auto"/>
        <w:bottom w:val="none" w:sz="0" w:space="0" w:color="auto"/>
        <w:right w:val="none" w:sz="0" w:space="0" w:color="auto"/>
      </w:divBdr>
    </w:div>
    <w:div w:id="1641107962">
      <w:bodyDiv w:val="1"/>
      <w:marLeft w:val="0"/>
      <w:marRight w:val="0"/>
      <w:marTop w:val="0"/>
      <w:marBottom w:val="0"/>
      <w:divBdr>
        <w:top w:val="none" w:sz="0" w:space="0" w:color="auto"/>
        <w:left w:val="none" w:sz="0" w:space="0" w:color="auto"/>
        <w:bottom w:val="none" w:sz="0" w:space="0" w:color="auto"/>
        <w:right w:val="none" w:sz="0" w:space="0" w:color="auto"/>
      </w:divBdr>
    </w:div>
    <w:div w:id="1770617892">
      <w:bodyDiv w:val="1"/>
      <w:marLeft w:val="0"/>
      <w:marRight w:val="0"/>
      <w:marTop w:val="0"/>
      <w:marBottom w:val="0"/>
      <w:divBdr>
        <w:top w:val="none" w:sz="0" w:space="0" w:color="auto"/>
        <w:left w:val="none" w:sz="0" w:space="0" w:color="auto"/>
        <w:bottom w:val="none" w:sz="0" w:space="0" w:color="auto"/>
        <w:right w:val="none" w:sz="0" w:space="0" w:color="auto"/>
      </w:divBdr>
    </w:div>
    <w:div w:id="1837724313">
      <w:bodyDiv w:val="1"/>
      <w:marLeft w:val="0"/>
      <w:marRight w:val="0"/>
      <w:marTop w:val="0"/>
      <w:marBottom w:val="0"/>
      <w:divBdr>
        <w:top w:val="none" w:sz="0" w:space="0" w:color="auto"/>
        <w:left w:val="none" w:sz="0" w:space="0" w:color="auto"/>
        <w:bottom w:val="none" w:sz="0" w:space="0" w:color="auto"/>
        <w:right w:val="none" w:sz="0" w:space="0" w:color="auto"/>
      </w:divBdr>
    </w:div>
    <w:div w:id="2047948908">
      <w:bodyDiv w:val="1"/>
      <w:marLeft w:val="0"/>
      <w:marRight w:val="0"/>
      <w:marTop w:val="0"/>
      <w:marBottom w:val="0"/>
      <w:divBdr>
        <w:top w:val="none" w:sz="0" w:space="0" w:color="auto"/>
        <w:left w:val="none" w:sz="0" w:space="0" w:color="auto"/>
        <w:bottom w:val="none" w:sz="0" w:space="0" w:color="auto"/>
        <w:right w:val="none" w:sz="0" w:space="0" w:color="auto"/>
      </w:divBdr>
    </w:div>
    <w:div w:id="212607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ingtree.com/live/887759503" TargetMode="External"/><Relationship Id="rId18" Type="http://schemas.openxmlformats.org/officeDocument/2006/relationships/hyperlink" Target="https://www.getdante.com/products/dante-enabled/dante-ready/"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zingtree.com/live/887759503" TargetMode="External"/><Relationship Id="rId25" Type="http://schemas.openxmlformats.org/officeDocument/2006/relationships/hyperlink" Target="https://protect-eu.mimecast.com/s/lUszCgxgJHAZzmKWSo3cGI?domain=sennheiser.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yperlink" Target="https://www.facebook.com/neumann/" TargetMode="External"/><Relationship Id="rId29"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merging.com/"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merging.com/" TargetMode="External"/><Relationship Id="rId23" Type="http://schemas.openxmlformats.org/officeDocument/2006/relationships/hyperlink" Target="http://www.neumann.com/" TargetMode="External"/><Relationship Id="rId28" Type="http://schemas.openxmlformats.org/officeDocument/2006/relationships/hyperlink" Target="mailto:Kirsten.Spruch@sennheiser.com" TargetMode="External"/><Relationship Id="rId10" Type="http://schemas.openxmlformats.org/officeDocument/2006/relationships/image" Target="media/image1.jpeg"/><Relationship Id="rId19" Type="http://schemas.openxmlformats.org/officeDocument/2006/relationships/hyperlink" Target="https://www.properprentsound.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youtube.com/user/GeorgNeumannGmbH" TargetMode="External"/><Relationship Id="rId27" Type="http://schemas.openxmlformats.org/officeDocument/2006/relationships/hyperlink" Target="https://www.merging.com/"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4.xml><?xml version="1.0" encoding="utf-8"?>
<ds:datastoreItem xmlns:ds="http://schemas.openxmlformats.org/officeDocument/2006/customXml" ds:itemID="{9E0D52D4-331D-4034-987E-8DA7CF447C9C}"/>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132</TotalTime>
  <Pages>5</Pages>
  <Words>1111</Words>
  <Characters>6115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Vialis, Valentine</cp:lastModifiedBy>
  <cp:revision>20</cp:revision>
  <dcterms:created xsi:type="dcterms:W3CDTF">2024-12-03T16:40:00Z</dcterms:created>
  <dcterms:modified xsi:type="dcterms:W3CDTF">2024-12-23T09:02:00Z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